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4F550" w14:textId="77777777" w:rsidR="00073187" w:rsidRPr="00F40EAB" w:rsidRDefault="00073187">
      <w:pPr>
        <w:pBdr>
          <w:bottom w:val="single" w:sz="6" w:space="1" w:color="000000"/>
        </w:pBdr>
        <w:rPr>
          <w:rFonts w:ascii="Arial" w:hAnsi="Arial" w:cs="Arial"/>
        </w:rPr>
      </w:pPr>
    </w:p>
    <w:p w14:paraId="25D3BF1A" w14:textId="77777777" w:rsidR="00073187" w:rsidRPr="00F40EAB" w:rsidRDefault="00073187">
      <w:pPr>
        <w:pBdr>
          <w:bottom w:val="single" w:sz="6" w:space="1" w:color="000000"/>
        </w:pBdr>
        <w:rPr>
          <w:rFonts w:ascii="Arial" w:hAnsi="Arial" w:cs="Arial"/>
        </w:rPr>
      </w:pPr>
    </w:p>
    <w:p w14:paraId="47571566" w14:textId="77777777" w:rsidR="00073187" w:rsidRPr="00F40EAB" w:rsidRDefault="00F40EAB">
      <w:pPr>
        <w:pStyle w:val="Ttulo1"/>
        <w:spacing w:before="240" w:line="240" w:lineRule="auto"/>
        <w:rPr>
          <w:rFonts w:ascii="Arial" w:hAnsi="Arial" w:cs="Arial"/>
        </w:rPr>
      </w:pPr>
      <w:bookmarkStart w:id="0" w:name="_heading=h.fuepdstgnau5" w:colFirst="0" w:colLast="0"/>
      <w:bookmarkEnd w:id="0"/>
      <w:r w:rsidRPr="00F40EAB">
        <w:rPr>
          <w:rFonts w:ascii="Arial" w:hAnsi="Arial" w:cs="Arial"/>
        </w:rPr>
        <w:t>Percepciones, gestión e impacto longitudinal de la Nueva Escuela Mexicana en educación primaria</w:t>
      </w:r>
    </w:p>
    <w:p w14:paraId="72DCB26F" w14:textId="77777777" w:rsidR="00073187" w:rsidRPr="00F40EAB" w:rsidRDefault="00073187">
      <w:pPr>
        <w:pStyle w:val="Ttulo1"/>
        <w:spacing w:line="240" w:lineRule="auto"/>
        <w:rPr>
          <w:rFonts w:ascii="Arial" w:hAnsi="Arial" w:cs="Arial"/>
        </w:rPr>
      </w:pPr>
    </w:p>
    <w:p w14:paraId="17B63800" w14:textId="77777777" w:rsidR="00073187" w:rsidRPr="00916FA5" w:rsidRDefault="00F40EAB">
      <w:pPr>
        <w:pStyle w:val="Ttulo1"/>
        <w:spacing w:line="240" w:lineRule="auto"/>
        <w:rPr>
          <w:rFonts w:ascii="Arial" w:hAnsi="Arial" w:cs="Arial"/>
          <w:lang w:val="en-US"/>
        </w:rPr>
      </w:pPr>
      <w:r w:rsidRPr="00916FA5">
        <w:rPr>
          <w:rFonts w:ascii="Arial" w:hAnsi="Arial" w:cs="Arial"/>
          <w:lang w:val="en-US"/>
        </w:rPr>
        <w:t>Perceptions, management, and longitudinal impact of the Nueva Escuela Mexicana in primary education</w:t>
      </w:r>
    </w:p>
    <w:p w14:paraId="448F0C3A" w14:textId="77777777" w:rsidR="00073187" w:rsidRPr="00F40EAB" w:rsidRDefault="00F40EAB">
      <w:pPr>
        <w:pStyle w:val="Ttulo1"/>
        <w:spacing w:before="240" w:line="240" w:lineRule="auto"/>
        <w:rPr>
          <w:rFonts w:ascii="Arial" w:hAnsi="Arial" w:cs="Arial"/>
        </w:rPr>
      </w:pPr>
      <w:r w:rsidRPr="00F40EAB">
        <w:rPr>
          <w:rFonts w:ascii="Arial" w:hAnsi="Arial" w:cs="Arial"/>
        </w:rPr>
        <w:t>Percepções, gestão e impacto longitudinal da Nueva Escuela Mexicana na educação primária</w:t>
      </w:r>
    </w:p>
    <w:p w14:paraId="3ED4D7B3" w14:textId="77777777" w:rsidR="00073187" w:rsidRPr="00F40EAB" w:rsidRDefault="00073187">
      <w:pPr>
        <w:pBdr>
          <w:bottom w:val="single" w:sz="6" w:space="1" w:color="000000"/>
        </w:pBdr>
        <w:rPr>
          <w:rFonts w:ascii="Arial" w:hAnsi="Arial" w:cs="Arial"/>
        </w:rPr>
      </w:pPr>
    </w:p>
    <w:p w14:paraId="0663C493" w14:textId="77777777" w:rsidR="00073187" w:rsidRPr="00F40EAB" w:rsidRDefault="00073187">
      <w:pPr>
        <w:jc w:val="center"/>
        <w:rPr>
          <w:rFonts w:ascii="Arial" w:hAnsi="Arial" w:cs="Arial"/>
          <w:b/>
          <w:bCs/>
        </w:rPr>
      </w:pPr>
    </w:p>
    <w:p w14:paraId="3C78E703" w14:textId="70240FB3" w:rsidR="00073187" w:rsidRPr="00F40EAB" w:rsidRDefault="00F40EAB">
      <w:pPr>
        <w:rPr>
          <w:rFonts w:ascii="Arial" w:hAnsi="Arial" w:cs="Arial"/>
          <w:b/>
          <w:bCs/>
          <w:sz w:val="20"/>
          <w:szCs w:val="20"/>
        </w:rPr>
      </w:pPr>
      <w:bookmarkStart w:id="1" w:name="_heading=h.8kjz7xls20yh" w:colFirst="0" w:colLast="0"/>
      <w:bookmarkEnd w:id="1"/>
      <w:r w:rsidRPr="00F40EAB">
        <w:rPr>
          <w:rFonts w:ascii="Arial" w:hAnsi="Arial" w:cs="Arial"/>
          <w:b/>
          <w:bCs/>
          <w:sz w:val="20"/>
          <w:szCs w:val="20"/>
        </w:rPr>
        <w:t>Recibido:</w:t>
      </w:r>
      <w:r w:rsidR="00DA7103" w:rsidRPr="00F40EAB">
        <w:rPr>
          <w:rFonts w:ascii="Arial" w:hAnsi="Arial" w:cs="Arial"/>
          <w:b/>
          <w:bCs/>
          <w:sz w:val="20"/>
          <w:szCs w:val="20"/>
        </w:rPr>
        <w:t xml:space="preserve"> 04/06/2026</w:t>
      </w:r>
      <w:r w:rsidRPr="00F40EAB">
        <w:rPr>
          <w:rFonts w:ascii="Arial" w:hAnsi="Arial" w:cs="Arial"/>
          <w:b/>
          <w:bCs/>
          <w:sz w:val="20"/>
          <w:szCs w:val="20"/>
        </w:rPr>
        <w:t xml:space="preserve"> </w:t>
      </w:r>
    </w:p>
    <w:p w14:paraId="05432CFE" w14:textId="3BC181A1" w:rsidR="00073187" w:rsidRPr="00F40EAB" w:rsidRDefault="00F40EAB">
      <w:pPr>
        <w:rPr>
          <w:rFonts w:ascii="Arial" w:hAnsi="Arial" w:cs="Arial"/>
          <w:b/>
          <w:bCs/>
          <w:sz w:val="20"/>
          <w:szCs w:val="20"/>
        </w:rPr>
      </w:pPr>
      <w:r w:rsidRPr="00F40EAB">
        <w:rPr>
          <w:rFonts w:ascii="Arial" w:hAnsi="Arial" w:cs="Arial"/>
          <w:b/>
          <w:bCs/>
          <w:sz w:val="20"/>
          <w:szCs w:val="20"/>
        </w:rPr>
        <w:t>Aprobado:</w:t>
      </w:r>
      <w:r w:rsidR="00DA7103" w:rsidRPr="00F40EAB">
        <w:rPr>
          <w:rFonts w:ascii="Arial" w:hAnsi="Arial" w:cs="Arial"/>
          <w:b/>
          <w:bCs/>
          <w:sz w:val="20"/>
          <w:szCs w:val="20"/>
        </w:rPr>
        <w:t xml:space="preserve"> 22/10/2026</w:t>
      </w:r>
    </w:p>
    <w:p w14:paraId="7D21CA03" w14:textId="1DFE02DC" w:rsidR="00073187" w:rsidRPr="00F40EAB" w:rsidRDefault="00F40EAB">
      <w:pPr>
        <w:rPr>
          <w:rFonts w:ascii="Arial" w:hAnsi="Arial" w:cs="Arial"/>
          <w:b/>
          <w:bCs/>
          <w:sz w:val="20"/>
          <w:szCs w:val="20"/>
        </w:rPr>
      </w:pPr>
      <w:r w:rsidRPr="00F40EAB">
        <w:rPr>
          <w:rFonts w:ascii="Arial" w:hAnsi="Arial" w:cs="Arial"/>
          <w:b/>
          <w:bCs/>
          <w:sz w:val="20"/>
          <w:szCs w:val="20"/>
        </w:rPr>
        <w:t xml:space="preserve">Publicado: </w:t>
      </w:r>
      <w:r w:rsidR="0038043D">
        <w:rPr>
          <w:rFonts w:ascii="Arial" w:hAnsi="Arial" w:cs="Arial"/>
          <w:b/>
          <w:bCs/>
          <w:sz w:val="20"/>
          <w:szCs w:val="20"/>
        </w:rPr>
        <w:t>27/10/2026</w:t>
      </w:r>
      <w:bookmarkStart w:id="2" w:name="_GoBack"/>
      <w:bookmarkEnd w:id="2"/>
    </w:p>
    <w:p w14:paraId="796DF317" w14:textId="77777777" w:rsidR="00DA7103" w:rsidRPr="00F40EAB" w:rsidRDefault="00DA7103">
      <w:pPr>
        <w:rPr>
          <w:rFonts w:ascii="Arial" w:hAnsi="Arial" w:cs="Arial"/>
          <w:b/>
          <w:bCs/>
          <w:sz w:val="20"/>
          <w:szCs w:val="20"/>
        </w:rPr>
      </w:pPr>
    </w:p>
    <w:p w14:paraId="144FC8B5" w14:textId="77777777" w:rsidR="00073187" w:rsidRPr="00F40EAB" w:rsidRDefault="00F40EAB">
      <w:pPr>
        <w:pBdr>
          <w:top w:val="nil"/>
          <w:left w:val="nil"/>
          <w:bottom w:val="nil"/>
          <w:right w:val="nil"/>
          <w:between w:val="nil"/>
        </w:pBdr>
        <w:jc w:val="center"/>
        <w:rPr>
          <w:rFonts w:ascii="Arial" w:hAnsi="Arial" w:cs="Arial"/>
          <w:highlight w:val="yellow"/>
        </w:rPr>
      </w:pPr>
      <w:r w:rsidRPr="00F40EAB">
        <w:rPr>
          <w:rFonts w:ascii="Arial" w:hAnsi="Arial" w:cs="Arial"/>
          <w:b/>
          <w:bCs/>
          <w:sz w:val="20"/>
          <w:szCs w:val="20"/>
        </w:rPr>
        <w:t xml:space="preserve">Este artículo ha sido aprobado por la editora, Dra. Susana Graciela Pérez Barrera </w:t>
      </w:r>
    </w:p>
    <w:p w14:paraId="0B0EC0EF" w14:textId="77777777" w:rsidR="00DA7103" w:rsidRPr="00F40EAB" w:rsidRDefault="00DA7103">
      <w:pPr>
        <w:pBdr>
          <w:top w:val="nil"/>
          <w:left w:val="nil"/>
          <w:bottom w:val="nil"/>
          <w:right w:val="nil"/>
          <w:between w:val="nil"/>
        </w:pBdr>
        <w:jc w:val="center"/>
        <w:rPr>
          <w:rFonts w:ascii="Arial" w:hAnsi="Arial" w:cs="Arial"/>
        </w:rPr>
      </w:pPr>
    </w:p>
    <w:p w14:paraId="53D385B8" w14:textId="59464201" w:rsidR="00073187" w:rsidRPr="00F40EAB" w:rsidRDefault="00F40EAB">
      <w:pPr>
        <w:pBdr>
          <w:top w:val="nil"/>
          <w:left w:val="nil"/>
          <w:bottom w:val="nil"/>
          <w:right w:val="nil"/>
          <w:between w:val="nil"/>
        </w:pBdr>
        <w:jc w:val="center"/>
        <w:rPr>
          <w:rFonts w:ascii="Arial" w:hAnsi="Arial" w:cs="Arial"/>
        </w:rPr>
      </w:pPr>
      <w:r w:rsidRPr="00F40EAB">
        <w:rPr>
          <w:rFonts w:ascii="Arial" w:hAnsi="Arial" w:cs="Arial"/>
        </w:rPr>
        <w:t xml:space="preserve">Ana </w:t>
      </w:r>
      <w:r w:rsidR="005F1191">
        <w:rPr>
          <w:rFonts w:ascii="Arial" w:hAnsi="Arial" w:cs="Arial"/>
        </w:rPr>
        <w:t>Lilia Mora Rangel</w:t>
      </w:r>
      <w:r w:rsidRPr="00F40EAB">
        <w:rPr>
          <w:rFonts w:ascii="Arial" w:hAnsi="Arial" w:cs="Arial"/>
          <w:vertAlign w:val="superscript"/>
        </w:rPr>
        <w:footnoteReference w:id="1"/>
      </w:r>
    </w:p>
    <w:p w14:paraId="74BDC5FF" w14:textId="140D1368" w:rsidR="00073187" w:rsidRPr="00F40EAB" w:rsidRDefault="00F40EAB">
      <w:pPr>
        <w:pBdr>
          <w:top w:val="nil"/>
          <w:left w:val="nil"/>
          <w:bottom w:val="nil"/>
          <w:right w:val="nil"/>
          <w:between w:val="nil"/>
        </w:pBdr>
        <w:jc w:val="center"/>
        <w:rPr>
          <w:rFonts w:ascii="Arial" w:hAnsi="Arial" w:cs="Arial"/>
        </w:rPr>
      </w:pPr>
      <w:bookmarkStart w:id="3" w:name="_heading=h.dwgabwkb0r2j" w:colFirst="0" w:colLast="0"/>
      <w:bookmarkEnd w:id="3"/>
      <w:r w:rsidRPr="00F40EAB">
        <w:rPr>
          <w:rFonts w:ascii="Arial" w:hAnsi="Arial" w:cs="Arial"/>
        </w:rPr>
        <w:t>Andrea Angelica Navarro Vill</w:t>
      </w:r>
      <w:r w:rsidR="00672333" w:rsidRPr="00F40EAB">
        <w:rPr>
          <w:rFonts w:ascii="Arial" w:hAnsi="Arial" w:cs="Arial"/>
        </w:rPr>
        <w:t>i</w:t>
      </w:r>
      <w:r w:rsidR="005F1191">
        <w:rPr>
          <w:rFonts w:ascii="Arial" w:hAnsi="Arial" w:cs="Arial"/>
        </w:rPr>
        <w:t>caña</w:t>
      </w:r>
      <w:r w:rsidRPr="00F40EAB">
        <w:rPr>
          <w:rFonts w:ascii="Arial" w:hAnsi="Arial" w:cs="Arial"/>
          <w:vertAlign w:val="superscript"/>
        </w:rPr>
        <w:footnoteReference w:id="2"/>
      </w:r>
    </w:p>
    <w:p w14:paraId="2F61C5E4" w14:textId="3BF68933" w:rsidR="00073187" w:rsidRPr="00F40EAB" w:rsidRDefault="005F1191">
      <w:pPr>
        <w:pBdr>
          <w:top w:val="nil"/>
          <w:left w:val="nil"/>
          <w:bottom w:val="nil"/>
          <w:right w:val="nil"/>
          <w:between w:val="nil"/>
        </w:pBdr>
        <w:jc w:val="center"/>
        <w:rPr>
          <w:rFonts w:ascii="Arial" w:hAnsi="Arial" w:cs="Arial"/>
          <w:vertAlign w:val="superscript"/>
        </w:rPr>
      </w:pPr>
      <w:r>
        <w:rPr>
          <w:rFonts w:ascii="Arial" w:hAnsi="Arial" w:cs="Arial"/>
        </w:rPr>
        <w:t>Roberto José Muñoz Mújica</w:t>
      </w:r>
      <w:r w:rsidR="00F40EAB" w:rsidRPr="00F40EAB">
        <w:rPr>
          <w:rFonts w:ascii="Arial" w:hAnsi="Arial" w:cs="Arial"/>
          <w:vertAlign w:val="superscript"/>
        </w:rPr>
        <w:footnoteReference w:id="3"/>
      </w:r>
    </w:p>
    <w:p w14:paraId="54F19837" w14:textId="4742A97F" w:rsidR="00073187" w:rsidRPr="00F40EAB" w:rsidRDefault="005F1191">
      <w:pPr>
        <w:jc w:val="center"/>
        <w:rPr>
          <w:rFonts w:ascii="Arial" w:hAnsi="Arial" w:cs="Arial"/>
          <w:vertAlign w:val="superscript"/>
        </w:rPr>
      </w:pPr>
      <w:r>
        <w:rPr>
          <w:rFonts w:ascii="Arial" w:hAnsi="Arial" w:cs="Arial"/>
        </w:rPr>
        <w:t>Alma Delia Navarrete Leal</w:t>
      </w:r>
      <w:r w:rsidR="00F40EAB" w:rsidRPr="00F40EAB">
        <w:rPr>
          <w:rFonts w:ascii="Arial" w:hAnsi="Arial" w:cs="Arial"/>
          <w:vertAlign w:val="superscript"/>
        </w:rPr>
        <w:footnoteReference w:id="4"/>
      </w:r>
    </w:p>
    <w:p w14:paraId="09F15F6C" w14:textId="77777777" w:rsidR="00073187" w:rsidRPr="00F40EAB" w:rsidRDefault="00073187">
      <w:pPr>
        <w:pBdr>
          <w:top w:val="nil"/>
          <w:left w:val="nil"/>
          <w:bottom w:val="nil"/>
          <w:right w:val="nil"/>
          <w:between w:val="nil"/>
        </w:pBdr>
        <w:jc w:val="center"/>
        <w:rPr>
          <w:rFonts w:ascii="Arial" w:hAnsi="Arial" w:cs="Arial"/>
          <w:vertAlign w:val="superscript"/>
        </w:rPr>
      </w:pPr>
    </w:p>
    <w:p w14:paraId="0BE666D6" w14:textId="77777777" w:rsidR="00073187" w:rsidRPr="00F40EAB" w:rsidRDefault="00F40EAB">
      <w:pPr>
        <w:spacing w:line="480" w:lineRule="auto"/>
        <w:jc w:val="center"/>
        <w:rPr>
          <w:rFonts w:ascii="Arial" w:hAnsi="Arial" w:cs="Arial"/>
          <w:b/>
          <w:bCs/>
        </w:rPr>
      </w:pPr>
      <w:r w:rsidRPr="00F40EAB">
        <w:rPr>
          <w:rFonts w:ascii="Arial" w:hAnsi="Arial" w:cs="Arial"/>
          <w:b/>
          <w:bCs/>
        </w:rPr>
        <w:t>Resumen</w:t>
      </w:r>
    </w:p>
    <w:p w14:paraId="2103E6DA" w14:textId="7773EC91" w:rsidR="00073187" w:rsidRPr="00F40EAB" w:rsidRDefault="00F40EAB">
      <w:pPr>
        <w:jc w:val="both"/>
        <w:rPr>
          <w:rFonts w:ascii="Arial" w:hAnsi="Arial" w:cs="Arial"/>
        </w:rPr>
      </w:pPr>
      <w:r w:rsidRPr="00F40EAB">
        <w:rPr>
          <w:rFonts w:ascii="Arial" w:hAnsi="Arial" w:cs="Arial"/>
        </w:rPr>
        <w:t xml:space="preserve">El presente estudio analizó las percepciones docentes, la gestión directiva y el impacto longitudinal en el rendimiento académico derivados de la implementación de la Nueva Escuela Mexicana en una escuela primaria de sostenimiento público ubicada en una zona rural de Celaya, Guanajuato. Para ello, se utilizó un diseño de métodos mixtos basado en la triangulación concurrente de datos. La metodología incluyó la aplicación de un cuestionario estandarizado a cinco docentes frente a grupo, una entrevista semiestructurada a la dirección del plantel y un análisis estadístico </w:t>
      </w:r>
      <w:r w:rsidRPr="00F40EAB">
        <w:rPr>
          <w:rFonts w:ascii="Arial" w:hAnsi="Arial" w:cs="Arial"/>
        </w:rPr>
        <w:lastRenderedPageBreak/>
        <w:t>retrospectivo que comparó los promedios académicos de</w:t>
      </w:r>
      <w:r w:rsidR="00672333" w:rsidRPr="00F40EAB">
        <w:rPr>
          <w:rFonts w:ascii="Arial" w:hAnsi="Arial" w:cs="Arial"/>
        </w:rPr>
        <w:t xml:space="preserve"> las mismas cohortes de estudiantes (145 registros</w:t>
      </w:r>
      <w:r w:rsidR="0059551B" w:rsidRPr="00F40EAB">
        <w:rPr>
          <w:rFonts w:ascii="Arial" w:hAnsi="Arial" w:cs="Arial"/>
        </w:rPr>
        <w:t xml:space="preserve"> en cada ciclo</w:t>
      </w:r>
      <w:r w:rsidR="00672333" w:rsidRPr="00F40EAB">
        <w:rPr>
          <w:rFonts w:ascii="Arial" w:hAnsi="Arial" w:cs="Arial"/>
        </w:rPr>
        <w:t>) en dos ciclos escolares mediante la prueba t de Welch</w:t>
      </w:r>
      <w:r w:rsidRPr="00F40EAB">
        <w:rPr>
          <w:rFonts w:ascii="Arial" w:hAnsi="Arial" w:cs="Arial"/>
        </w:rPr>
        <w:t xml:space="preserve">. Los resultados revelaron que el profesorado sostuvo el cambio pedagógico gracias a su resiliencia y experiencia previa, enfrentando carencias significativas en la capacitación oficial. Desde la gestión directiva, se identificaron barreras para integrar a la comunidad por factores socioeconómicos y retos para sistematizar los nuevos enfoques cualitativos. Asimismo, el análisis longitudinal mostró una disminución estadísticamente significativa en el promedio general de la escuela. Se concluyó que esta caída numérica no </w:t>
      </w:r>
      <w:r w:rsidR="00672333" w:rsidRPr="00F40EAB">
        <w:rPr>
          <w:rFonts w:ascii="Arial" w:hAnsi="Arial" w:cs="Arial"/>
        </w:rPr>
        <w:t>puede leerse por sí sola como un retroceso en el aprendizaje; es consistente con</w:t>
      </w:r>
      <w:r w:rsidRPr="00F40EAB">
        <w:rPr>
          <w:rFonts w:ascii="Arial" w:hAnsi="Arial" w:cs="Arial"/>
        </w:rPr>
        <w:t xml:space="preserve"> una fricción estructural al intentar traducir procesos de evaluación formativa a calificaciones tradicionales. Finalmente, se determinó que la consolidación del modelo educativo requiere transitar hacia un acompañamiento institucional situado que reduzca la carga administrativa y ofrezca herramientas prácticas adaptadas al contexto local.</w:t>
      </w:r>
    </w:p>
    <w:p w14:paraId="2DBBFB22" w14:textId="77777777" w:rsidR="00073187" w:rsidRPr="00F40EAB" w:rsidRDefault="00073187">
      <w:pPr>
        <w:spacing w:after="120"/>
        <w:rPr>
          <w:rFonts w:ascii="Arial" w:hAnsi="Arial" w:cs="Arial"/>
        </w:rPr>
      </w:pPr>
    </w:p>
    <w:p w14:paraId="1F9E1B33" w14:textId="77777777" w:rsidR="00073187" w:rsidRPr="00F40EAB" w:rsidRDefault="00F40EAB">
      <w:pPr>
        <w:spacing w:after="120"/>
        <w:rPr>
          <w:rFonts w:ascii="Arial" w:hAnsi="Arial" w:cs="Arial"/>
        </w:rPr>
      </w:pPr>
      <w:r w:rsidRPr="00F40EAB">
        <w:rPr>
          <w:rFonts w:ascii="Arial" w:hAnsi="Arial" w:cs="Arial"/>
          <w:i/>
          <w:iCs/>
        </w:rPr>
        <w:t>Palabras clave</w:t>
      </w:r>
      <w:r w:rsidRPr="00F40EAB">
        <w:rPr>
          <w:rFonts w:ascii="Arial" w:hAnsi="Arial" w:cs="Arial"/>
        </w:rPr>
        <w:t>: educación primaria, evaluación formativa, metodologías activas, Nueva Escuela Mexicana, rendimiento académico</w:t>
      </w:r>
    </w:p>
    <w:p w14:paraId="0F8630D2" w14:textId="77777777" w:rsidR="00073187" w:rsidRPr="00F40EAB" w:rsidRDefault="00073187">
      <w:pPr>
        <w:spacing w:line="480" w:lineRule="auto"/>
        <w:rPr>
          <w:rFonts w:ascii="Arial" w:hAnsi="Arial" w:cs="Arial"/>
          <w:b/>
          <w:bCs/>
        </w:rPr>
      </w:pPr>
    </w:p>
    <w:p w14:paraId="2A0BB218" w14:textId="77777777" w:rsidR="00073187" w:rsidRPr="00916FA5" w:rsidRDefault="00F40EAB">
      <w:pPr>
        <w:spacing w:line="480" w:lineRule="auto"/>
        <w:jc w:val="center"/>
        <w:rPr>
          <w:rFonts w:ascii="Arial" w:hAnsi="Arial" w:cs="Arial"/>
          <w:b/>
          <w:bCs/>
          <w:lang w:val="en-US"/>
        </w:rPr>
      </w:pPr>
      <w:r w:rsidRPr="00916FA5">
        <w:rPr>
          <w:rFonts w:ascii="Arial" w:hAnsi="Arial" w:cs="Arial"/>
          <w:b/>
          <w:bCs/>
          <w:lang w:val="en-US"/>
        </w:rPr>
        <w:t>Abstract</w:t>
      </w:r>
    </w:p>
    <w:p w14:paraId="08E36631" w14:textId="49D18EEE" w:rsidR="00672333" w:rsidRPr="00916FA5" w:rsidRDefault="00672333" w:rsidP="00672333">
      <w:pPr>
        <w:jc w:val="both"/>
        <w:rPr>
          <w:rFonts w:ascii="Arial" w:hAnsi="Arial" w:cs="Arial"/>
          <w:lang w:val="en-US"/>
        </w:rPr>
      </w:pPr>
      <w:r w:rsidRPr="00916FA5">
        <w:rPr>
          <w:rFonts w:ascii="Arial" w:hAnsi="Arial" w:cs="Arial"/>
          <w:lang w:val="en-US"/>
        </w:rPr>
        <w:t>This research examined teacher perceptions, school management, and the longitudinal impact on academic performance arising from the implementation of the Nueva Escuela Mexicana (NEM) in a public primary school located in a rural area of Celaya, Guanajuato. A mixed-methods design with concurrent data triangulation was applied. The procedure combined a standardized questionnaire administered to five classroom teachers, a semi-structured interview with the school principal, and a retrospective statistical analysis comparing the academic averages of the same student cohorts (</w:t>
      </w:r>
      <w:r w:rsidR="0059551B" w:rsidRPr="00916FA5">
        <w:rPr>
          <w:rFonts w:ascii="Arial" w:hAnsi="Arial" w:cs="Arial"/>
          <w:lang w:val="en-US"/>
        </w:rPr>
        <w:t>145</w:t>
      </w:r>
      <w:r w:rsidRPr="00916FA5">
        <w:rPr>
          <w:rFonts w:ascii="Arial" w:hAnsi="Arial" w:cs="Arial"/>
          <w:lang w:val="en-US"/>
        </w:rPr>
        <w:t xml:space="preserve"> records</w:t>
      </w:r>
      <w:r w:rsidR="0059551B" w:rsidRPr="00916FA5">
        <w:rPr>
          <w:rFonts w:ascii="Arial" w:hAnsi="Arial" w:cs="Arial"/>
          <w:lang w:val="en-US"/>
        </w:rPr>
        <w:t xml:space="preserve"> per cycle</w:t>
      </w:r>
      <w:r w:rsidRPr="00916FA5">
        <w:rPr>
          <w:rFonts w:ascii="Arial" w:hAnsi="Arial" w:cs="Arial"/>
          <w:lang w:val="en-US"/>
        </w:rPr>
        <w:t>) across two school cycles through Welch's t-test. Findings show that teachers sustained the pedagogical shift through resilience and prior experience, while facing notable gaps in official training. From the management perspective, two obstacles emerged: socioeconomic barriers that hinder community involvement, and difficulties in systematizing the new qualitative approaches. The longitudinal analysis, in turn, revealed a statistically significant decrease in the school's overall average. This numerical decline cannot be read on its own as a learning regression; it is consistent with a structural friction that surfaces when formative evaluation processes are forced into the mould of traditional grading. Consolidating the model thus requires moving toward situated institutional support that eases the administrative load and provides practical tools fitted to the local context.</w:t>
      </w:r>
    </w:p>
    <w:p w14:paraId="5424D12E" w14:textId="77777777" w:rsidR="00073187" w:rsidRPr="00916FA5" w:rsidRDefault="00073187" w:rsidP="00672333">
      <w:pPr>
        <w:spacing w:line="480" w:lineRule="auto"/>
        <w:rPr>
          <w:rFonts w:ascii="Arial" w:hAnsi="Arial" w:cs="Arial"/>
          <w:lang w:val="en-US"/>
        </w:rPr>
      </w:pPr>
    </w:p>
    <w:p w14:paraId="2379C2DB" w14:textId="77777777" w:rsidR="00073187" w:rsidRPr="00916FA5" w:rsidRDefault="00F40EAB">
      <w:pPr>
        <w:rPr>
          <w:rFonts w:ascii="Arial" w:hAnsi="Arial" w:cs="Arial"/>
          <w:lang w:val="en-US"/>
        </w:rPr>
      </w:pPr>
      <w:r w:rsidRPr="00916FA5">
        <w:rPr>
          <w:rFonts w:ascii="Arial" w:hAnsi="Arial" w:cs="Arial"/>
          <w:i/>
          <w:iCs/>
          <w:lang w:val="en-US"/>
        </w:rPr>
        <w:t>Keywords:</w:t>
      </w:r>
      <w:r w:rsidRPr="00916FA5">
        <w:rPr>
          <w:rFonts w:ascii="Arial" w:hAnsi="Arial" w:cs="Arial"/>
          <w:lang w:val="en-US"/>
        </w:rPr>
        <w:t xml:space="preserve"> academic performance, active methodologies, elementary education, formative assessment, Nueva Escuela Mexicana</w:t>
      </w:r>
    </w:p>
    <w:p w14:paraId="18802C6B" w14:textId="77777777" w:rsidR="00073187" w:rsidRPr="00F40EAB" w:rsidRDefault="00F40EAB">
      <w:pPr>
        <w:jc w:val="center"/>
        <w:rPr>
          <w:rFonts w:ascii="Arial" w:hAnsi="Arial" w:cs="Arial"/>
          <w:b/>
          <w:bCs/>
        </w:rPr>
      </w:pPr>
      <w:r w:rsidRPr="00F40EAB">
        <w:rPr>
          <w:rFonts w:ascii="Arial" w:hAnsi="Arial" w:cs="Arial"/>
          <w:b/>
          <w:bCs/>
        </w:rPr>
        <w:lastRenderedPageBreak/>
        <w:t>Resumo</w:t>
      </w:r>
    </w:p>
    <w:p w14:paraId="0834BB93" w14:textId="77777777" w:rsidR="00073187" w:rsidRPr="00F40EAB" w:rsidRDefault="00073187">
      <w:pPr>
        <w:jc w:val="center"/>
        <w:rPr>
          <w:rFonts w:ascii="Arial" w:hAnsi="Arial" w:cs="Arial"/>
          <w:b/>
          <w:bCs/>
        </w:rPr>
      </w:pPr>
    </w:p>
    <w:p w14:paraId="0D2D844E" w14:textId="31B7F7D3" w:rsidR="00672333" w:rsidRPr="00F40EAB" w:rsidRDefault="00672333" w:rsidP="00672333">
      <w:pPr>
        <w:jc w:val="both"/>
        <w:rPr>
          <w:rFonts w:ascii="Arial" w:hAnsi="Arial" w:cs="Arial"/>
        </w:rPr>
      </w:pPr>
      <w:r w:rsidRPr="00F40EAB">
        <w:rPr>
          <w:rFonts w:ascii="Arial" w:hAnsi="Arial" w:cs="Arial"/>
        </w:rPr>
        <w:t>Esta pesquisa examinou as percepções docentes, a gestão escolar e o impacto longitudinal sobre o rendimento acadêmico decorrente da implementação da Nueva Escuela Mexicana (NEM) em uma escola primária pública situada na zona rural de Celaya, Guanajuato. Empregou-se um desenho de métodos mistos com triangulação concorrente de dados. O percurso metodológico articulou um questionário padronizado aplicado a cinco professores regentes, uma entrevista semiestruturada com a diretora do estabelecimento e uma análise estatística retrospectiva que comparou as médias acadêmicas das mesmas coortes de alunos (145 registros</w:t>
      </w:r>
      <w:r w:rsidR="0059551B" w:rsidRPr="00F40EAB">
        <w:rPr>
          <w:rFonts w:ascii="Arial" w:hAnsi="Arial" w:cs="Arial"/>
        </w:rPr>
        <w:t xml:space="preserve"> em cada ciclo</w:t>
      </w:r>
      <w:r w:rsidRPr="00F40EAB">
        <w:rPr>
          <w:rFonts w:ascii="Arial" w:hAnsi="Arial" w:cs="Arial"/>
        </w:rPr>
        <w:t>) em dois ciclos letivos por meio do teste t de Welch. Os achados indicam que os professores sustentaram a mudança pedagógica apoiados na resiliência e na experiência prévia, enquanto enfrentavam carências importantes na capacitação oficial. Do ponto de vista da gestão, dois entraves se destacaram: barreiras socioeconômicas que dificultam a integração da comunidade e a complexidade de sistematizar as novas abordagens qualitativas. A análise longitudinal, por sua vez, evidenciou uma diminuição estatisticamente significativa na média geral da escola. Essa queda numérica não pode ser lida, por si só, como retrocesso na aprendizagem; é coerente com uma fricção estrutural que aflora quando os processos de avaliação formativa são forçados a caber em notas tradicionais. Consolidar o modelo exige, portanto, transitar para um acompanhamento institucional situado, que alivie a carga administrativa e ofereça ferramentas práticas adequadas ao contexto local.</w:t>
      </w:r>
    </w:p>
    <w:p w14:paraId="008DC90E" w14:textId="1EDC86D6" w:rsidR="00073187" w:rsidRPr="00F40EAB" w:rsidRDefault="00F40EAB">
      <w:pPr>
        <w:rPr>
          <w:rFonts w:ascii="Arial" w:hAnsi="Arial" w:cs="Arial"/>
        </w:rPr>
      </w:pPr>
      <w:r w:rsidRPr="00F40EAB">
        <w:rPr>
          <w:rFonts w:ascii="Arial" w:hAnsi="Arial" w:cs="Arial"/>
        </w:rPr>
        <w:t> </w:t>
      </w:r>
    </w:p>
    <w:p w14:paraId="5A66D60E" w14:textId="77777777" w:rsidR="00073187" w:rsidRPr="00F40EAB" w:rsidRDefault="00F40EAB">
      <w:pPr>
        <w:rPr>
          <w:rFonts w:ascii="Arial" w:hAnsi="Arial" w:cs="Arial"/>
        </w:rPr>
      </w:pPr>
      <w:r w:rsidRPr="00F40EAB">
        <w:rPr>
          <w:rFonts w:ascii="Arial" w:hAnsi="Arial" w:cs="Arial"/>
        </w:rPr>
        <w:t>Palavras-chave: avaliação formativa, educação primária, metodologias ativas, Nueva Escuela Mexicana, rendimento acadêmico</w:t>
      </w:r>
    </w:p>
    <w:p w14:paraId="362ECB3A" w14:textId="77777777" w:rsidR="00073187" w:rsidRPr="00F40EAB" w:rsidRDefault="00073187">
      <w:pPr>
        <w:rPr>
          <w:rFonts w:ascii="Arial" w:hAnsi="Arial" w:cs="Arial"/>
        </w:rPr>
      </w:pPr>
    </w:p>
    <w:p w14:paraId="3C3743D7" w14:textId="77777777" w:rsidR="00073187" w:rsidRPr="00F40EAB" w:rsidRDefault="00073187">
      <w:pPr>
        <w:rPr>
          <w:rFonts w:ascii="Arial" w:hAnsi="Arial" w:cs="Arial"/>
        </w:rPr>
      </w:pPr>
    </w:p>
    <w:p w14:paraId="2F326BCB" w14:textId="77777777" w:rsidR="00073187" w:rsidRPr="00F40EAB" w:rsidRDefault="00F40EAB">
      <w:pPr>
        <w:pStyle w:val="Ttulo1"/>
        <w:spacing w:after="120" w:line="240" w:lineRule="auto"/>
        <w:rPr>
          <w:rFonts w:ascii="Arial" w:hAnsi="Arial" w:cs="Arial"/>
        </w:rPr>
      </w:pPr>
      <w:bookmarkStart w:id="4" w:name="_heading=h.ue5d52yo9v5i" w:colFirst="0" w:colLast="0"/>
      <w:bookmarkEnd w:id="4"/>
      <w:r w:rsidRPr="00F40EAB">
        <w:rPr>
          <w:rFonts w:ascii="Arial" w:hAnsi="Arial" w:cs="Arial"/>
        </w:rPr>
        <w:t>Introducción</w:t>
      </w:r>
    </w:p>
    <w:p w14:paraId="3C5E18AC" w14:textId="77777777" w:rsidR="00073187" w:rsidRPr="00F40EAB" w:rsidRDefault="00073187">
      <w:pPr>
        <w:rPr>
          <w:rFonts w:ascii="Arial" w:hAnsi="Arial" w:cs="Arial"/>
        </w:rPr>
      </w:pPr>
    </w:p>
    <w:p w14:paraId="00E554BB" w14:textId="77777777" w:rsidR="00073187" w:rsidRPr="00F40EAB" w:rsidRDefault="00F40EAB">
      <w:pPr>
        <w:spacing w:after="120"/>
        <w:jc w:val="both"/>
        <w:rPr>
          <w:rFonts w:ascii="Arial" w:hAnsi="Arial" w:cs="Arial"/>
        </w:rPr>
      </w:pPr>
      <w:r w:rsidRPr="00F40EAB">
        <w:rPr>
          <w:rFonts w:ascii="Arial" w:hAnsi="Arial" w:cs="Arial"/>
        </w:rPr>
        <w:t>La Nueva Escuela Mexicana (NEM) reorganiza estructuralmente el sistema de educación básica. Su apuesta es triple: enfoque humanista, justicia curricular y participación comunitaria sostenida en lo educativo. Para materializar estos principios, el marco pedagógico recurre a metodologías activas y sociocríticas (Aprendizaje Basado en Proyectos, Aprendizaje-Servicio Solidario, enfoque STEAM) con un objetivo declarado: formar pensamiento crítico y anclar el aprendizaje en contextos concretos (González Cabrera, 2025; Pérez Angeles et al., 2025).</w:t>
      </w:r>
    </w:p>
    <w:p w14:paraId="78F04007" w14:textId="77777777" w:rsidR="00073187" w:rsidRPr="00F40EAB" w:rsidRDefault="00F40EAB">
      <w:pPr>
        <w:spacing w:after="120"/>
        <w:jc w:val="both"/>
        <w:rPr>
          <w:rFonts w:ascii="Arial" w:hAnsi="Arial" w:cs="Arial"/>
        </w:rPr>
      </w:pPr>
      <w:r w:rsidRPr="00F40EAB">
        <w:rPr>
          <w:rFonts w:ascii="Arial" w:hAnsi="Arial" w:cs="Arial"/>
        </w:rPr>
        <w:t xml:space="preserve">Sin embargo, los estudios publicados en los últimos dos años documentan una distancia preocupante entre lo que el modelo prescribe y lo que ocurre en las aulas. Si bien el personal docente reconoce su papel protagónico en esta transformación (De los Santos Urias &amp; Tinajero Villavicencio, 2025), la adopción ha producido un escenario complejo. La deficiencia en los procesos de formación profesional emerge como una de las principales barreras; los docentes reportan modelos de capacitación </w:t>
      </w:r>
      <w:r w:rsidRPr="00F40EAB">
        <w:rPr>
          <w:rFonts w:ascii="Arial" w:hAnsi="Arial" w:cs="Arial"/>
        </w:rPr>
        <w:lastRenderedPageBreak/>
        <w:t>en cascada que resultan repetitivos, confusos y carentes de estrategias de aplicación práctica (Oropeza Sandoval, 2024).</w:t>
      </w:r>
    </w:p>
    <w:p w14:paraId="33D5524B" w14:textId="77777777" w:rsidR="00073187" w:rsidRPr="00F40EAB" w:rsidRDefault="00F40EAB">
      <w:pPr>
        <w:spacing w:after="120"/>
        <w:jc w:val="both"/>
        <w:rPr>
          <w:rFonts w:ascii="Arial" w:hAnsi="Arial" w:cs="Arial"/>
        </w:rPr>
      </w:pPr>
      <w:r w:rsidRPr="00F40EAB">
        <w:rPr>
          <w:rFonts w:ascii="Arial" w:hAnsi="Arial" w:cs="Arial"/>
        </w:rPr>
        <w:t>A estas limitaciones se suma la fuerte tensión entre la autonomía curricular prometida y la persistencia de demandas administrativas (Durand Villalobos &amp; Benítez Alcaraz, 2025). Las exigencias de supervisión burocrática frecuentemente sobrepasan el acompañamiento pedagógico, lo que genera desgaste emocional, resistencia al cambio y dificultades para consolidar la planeación interdisciplinaria (Macias Monroy, 2025; Vázquez &amp; Esparza Puga, 2025). La evidencia sugiere que el éxito de la NEM depende directamente de un apoyo pedagógico continuo, colaborativo y situado en las realidades locales (Carrera Hernández et al., 2025; Pérez Angeles et al., 2025).</w:t>
      </w:r>
    </w:p>
    <w:p w14:paraId="19C2CEF5" w14:textId="79E040EE" w:rsidR="00073187" w:rsidRPr="00F40EAB" w:rsidRDefault="00F40EAB">
      <w:pPr>
        <w:spacing w:after="120"/>
        <w:jc w:val="both"/>
        <w:rPr>
          <w:rFonts w:ascii="Arial" w:hAnsi="Arial" w:cs="Arial"/>
        </w:rPr>
      </w:pPr>
      <w:r w:rsidRPr="00F40EAB">
        <w:rPr>
          <w:rFonts w:ascii="Arial" w:hAnsi="Arial" w:cs="Arial"/>
        </w:rPr>
        <w:t xml:space="preserve">La institución educativa </w:t>
      </w:r>
      <w:r w:rsidR="00E57877" w:rsidRPr="00F40EAB">
        <w:rPr>
          <w:rFonts w:ascii="Arial" w:hAnsi="Arial" w:cs="Arial"/>
        </w:rPr>
        <w:t>en la que se centra la presente investigación está ubicada en una localidad rural del municipio de Celaya, Guanajuato, México; por razones de confidencialidad, se reserva su nombre</w:t>
      </w:r>
      <w:r w:rsidRPr="00F40EAB">
        <w:rPr>
          <w:rFonts w:ascii="Arial" w:hAnsi="Arial" w:cs="Arial"/>
        </w:rPr>
        <w:t xml:space="preserve">. Esta primaria es de sostenimiento público, de organización completa, </w:t>
      </w:r>
      <w:r w:rsidR="00E57877" w:rsidRPr="00F40EAB">
        <w:rPr>
          <w:rFonts w:ascii="Arial" w:hAnsi="Arial" w:cs="Arial"/>
        </w:rPr>
        <w:t>con una matrícula de 16</w:t>
      </w:r>
      <w:r w:rsidR="00BD7080" w:rsidRPr="00F40EAB">
        <w:rPr>
          <w:rFonts w:ascii="Arial" w:hAnsi="Arial" w:cs="Arial"/>
        </w:rPr>
        <w:t>6</w:t>
      </w:r>
      <w:r w:rsidR="00E57877" w:rsidRPr="00F40EAB">
        <w:rPr>
          <w:rFonts w:ascii="Arial" w:hAnsi="Arial" w:cs="Arial"/>
        </w:rPr>
        <w:t xml:space="preserve"> alumnos en el ciclo 2024-2025 y de 172 en el ciclo 2025-2026</w:t>
      </w:r>
      <w:r w:rsidRPr="00F40EAB">
        <w:rPr>
          <w:rFonts w:ascii="Arial" w:hAnsi="Arial" w:cs="Arial"/>
        </w:rPr>
        <w:t>, quienes tienen una formación académica basada en la NEM, la cual, tiene como objetivo promover el aprendizaje de excelencia, inclusivo, pluricultural, colaborativo y equitativo a lo largo del trayecto de su formación, adaptado a todas las regiones de la república (</w:t>
      </w:r>
      <w:r w:rsidR="0059551B" w:rsidRPr="00F40EAB">
        <w:rPr>
          <w:rFonts w:ascii="Arial" w:hAnsi="Arial" w:cs="Arial"/>
        </w:rPr>
        <w:t>Sindicato Nacional de Trabajadores de la Educación [SNTE], 2024</w:t>
      </w:r>
      <w:r w:rsidRPr="00F40EAB">
        <w:rPr>
          <w:rFonts w:ascii="Arial" w:hAnsi="Arial" w:cs="Arial"/>
        </w:rPr>
        <w:t>).</w:t>
      </w:r>
    </w:p>
    <w:p w14:paraId="618A39F6" w14:textId="55F4477C" w:rsidR="00073187" w:rsidRPr="00F40EAB" w:rsidRDefault="00BD7080">
      <w:pPr>
        <w:spacing w:after="120"/>
        <w:jc w:val="both"/>
        <w:rPr>
          <w:rFonts w:ascii="Arial" w:hAnsi="Arial" w:cs="Arial"/>
        </w:rPr>
      </w:pPr>
      <w:r w:rsidRPr="00F40EAB">
        <w:rPr>
          <w:rFonts w:ascii="Arial" w:hAnsi="Arial" w:cs="Arial"/>
        </w:rPr>
        <w:t xml:space="preserve">La localidad es rural; la economía informal domina. </w:t>
      </w:r>
      <w:r w:rsidR="00E57877" w:rsidRPr="00F40EAB">
        <w:rPr>
          <w:rFonts w:ascii="Arial" w:hAnsi="Arial" w:cs="Arial"/>
        </w:rPr>
        <w:t xml:space="preserve">La escuela vive esa economía en carne propia. El Sistema de Alerta Temprana (SisAT), herramienta de la Secretaría de Educación Pública que se aplica </w:t>
      </w:r>
      <w:r w:rsidR="002613AD" w:rsidRPr="00F40EAB">
        <w:rPr>
          <w:rFonts w:ascii="Arial" w:hAnsi="Arial" w:cs="Arial"/>
        </w:rPr>
        <w:t xml:space="preserve">en tres momentos del </w:t>
      </w:r>
      <w:r w:rsidR="00E57877" w:rsidRPr="00F40EAB">
        <w:rPr>
          <w:rFonts w:ascii="Arial" w:hAnsi="Arial" w:cs="Arial"/>
        </w:rPr>
        <w:t xml:space="preserve">ciclo escolar para identificar a los alumnos en riesgo de no alcanzar los aprendizajes esperados mediante pruebas de lectura, producción de textos y cálculo mental (SEP, </w:t>
      </w:r>
      <w:r w:rsidRPr="00F40EAB">
        <w:rPr>
          <w:rFonts w:ascii="Arial" w:hAnsi="Arial" w:cs="Arial"/>
        </w:rPr>
        <w:t>s.</w:t>
      </w:r>
      <w:r w:rsidR="0059551B" w:rsidRPr="00F40EAB">
        <w:rPr>
          <w:rFonts w:ascii="Arial" w:hAnsi="Arial" w:cs="Arial"/>
        </w:rPr>
        <w:t xml:space="preserve"> </w:t>
      </w:r>
      <w:r w:rsidRPr="00F40EAB">
        <w:rPr>
          <w:rFonts w:ascii="Arial" w:hAnsi="Arial" w:cs="Arial"/>
        </w:rPr>
        <w:t>f.</w:t>
      </w:r>
      <w:r w:rsidR="00E57877" w:rsidRPr="00F40EAB">
        <w:rPr>
          <w:rFonts w:ascii="Arial" w:hAnsi="Arial" w:cs="Arial"/>
        </w:rPr>
        <w:t xml:space="preserve">), </w:t>
      </w:r>
      <w:r w:rsidRPr="00F40EAB">
        <w:rPr>
          <w:rFonts w:ascii="Arial" w:hAnsi="Arial" w:cs="Arial"/>
        </w:rPr>
        <w:t>detectó rezagos serios en lectura y resolución de problemas matemáticos, rezagos que la pandemia agravó y que persisten. A esto se suma infraestructura tecnológica insuficiente y tareas administrativas que devoran tiempo de aula. Por eso importa estudiar qué pasa con la NEM aquí. Una reforma que promete educación situada y pluricultural debe medirse contra la realidad de una comunidad que trabaja con recursos escasos y urgencias cotidianas.</w:t>
      </w:r>
    </w:p>
    <w:p w14:paraId="0EDE6B9C" w14:textId="77777777" w:rsidR="00073187" w:rsidRPr="00F40EAB" w:rsidRDefault="00F40EAB">
      <w:pPr>
        <w:spacing w:after="120"/>
        <w:jc w:val="both"/>
        <w:rPr>
          <w:rFonts w:ascii="Arial" w:hAnsi="Arial" w:cs="Arial"/>
        </w:rPr>
      </w:pPr>
      <w:r w:rsidRPr="00F40EAB">
        <w:rPr>
          <w:rFonts w:ascii="Arial" w:hAnsi="Arial" w:cs="Arial"/>
        </w:rPr>
        <w:t>Partiendo de esta problemática, el objetivo general de la presente investigación es analizar las percepciones docentes, la gestión directiva y el impacto longitudinal en el rendimiento académico derivados de la implementación de la NEM en una escuela primaria de Celaya, Guanajuato. El estudio se enfoca en los procesos de adaptación pedagógica, los retos administrativos y la transformación de la evaluación formativa dentro de este contexto específico.</w:t>
      </w:r>
    </w:p>
    <w:p w14:paraId="05D2FFF7" w14:textId="77777777" w:rsidR="00073187" w:rsidRPr="00F40EAB" w:rsidRDefault="00F40EAB">
      <w:pPr>
        <w:spacing w:after="120"/>
        <w:jc w:val="both"/>
        <w:rPr>
          <w:rFonts w:ascii="Arial" w:hAnsi="Arial" w:cs="Arial"/>
        </w:rPr>
      </w:pPr>
      <w:r w:rsidRPr="00F40EAB">
        <w:rPr>
          <w:rFonts w:ascii="Arial" w:hAnsi="Arial" w:cs="Arial"/>
        </w:rPr>
        <w:t>Para alcanzar este objetivo, el estudio usa un diseño de métodos mixtos con triangulación de datos. Tres instrumentos: cuestionario Likert al colectivo docente; entrevista semiestructurada a la dirección; análisis estadístico de los registros académicos. Así se contrastan percepciones con promedios reales.</w:t>
      </w:r>
    </w:p>
    <w:p w14:paraId="0AB2545E" w14:textId="77777777" w:rsidR="00073187" w:rsidRPr="00F40EAB" w:rsidRDefault="00F40EAB">
      <w:pPr>
        <w:spacing w:after="120"/>
        <w:jc w:val="both"/>
        <w:rPr>
          <w:rFonts w:ascii="Arial" w:hAnsi="Arial" w:cs="Arial"/>
          <w:b/>
          <w:bCs/>
        </w:rPr>
      </w:pPr>
      <w:r w:rsidRPr="00F40EAB">
        <w:rPr>
          <w:rFonts w:ascii="Arial" w:hAnsi="Arial" w:cs="Arial"/>
        </w:rPr>
        <w:lastRenderedPageBreak/>
        <w:t>El artículo avanza así: Materiales y métodos describe el diseño y los instrumentos; Resultados expone los hallazgos de la triangulación; Consideraciones finales reflexiona sobre las implicaciones para la gestión directiva y la práctica docente.</w:t>
      </w:r>
    </w:p>
    <w:p w14:paraId="765B3F03" w14:textId="77777777" w:rsidR="00073187" w:rsidRPr="00F40EAB" w:rsidRDefault="00F40EAB">
      <w:pPr>
        <w:spacing w:line="480" w:lineRule="auto"/>
        <w:ind w:left="360" w:hanging="360"/>
        <w:jc w:val="center"/>
        <w:rPr>
          <w:rFonts w:ascii="Arial" w:hAnsi="Arial" w:cs="Arial"/>
          <w:b/>
          <w:bCs/>
        </w:rPr>
      </w:pPr>
      <w:r w:rsidRPr="00F40EAB">
        <w:rPr>
          <w:rFonts w:ascii="Arial" w:hAnsi="Arial" w:cs="Arial"/>
          <w:b/>
          <w:bCs/>
        </w:rPr>
        <w:t>Marco teórico</w:t>
      </w:r>
    </w:p>
    <w:p w14:paraId="258D3E04" w14:textId="77777777" w:rsidR="00073187" w:rsidRPr="00F40EAB" w:rsidRDefault="00F40EAB">
      <w:pPr>
        <w:spacing w:after="120"/>
        <w:jc w:val="both"/>
        <w:rPr>
          <w:rFonts w:ascii="Arial" w:hAnsi="Arial" w:cs="Arial"/>
        </w:rPr>
      </w:pPr>
      <w:r w:rsidRPr="00F40EAB">
        <w:rPr>
          <w:rFonts w:ascii="Arial" w:hAnsi="Arial" w:cs="Arial"/>
        </w:rPr>
        <w:t>Esta sección establece los fundamentos teóricos y conceptuales que sustentan la implementación de la NEM y la adopción de metodologías activas en la educación básica, así como los retos inherentes a la transformación del rol docente en este nuevo paradigma.</w:t>
      </w:r>
    </w:p>
    <w:p w14:paraId="3690F6E5" w14:textId="77777777" w:rsidR="00073187" w:rsidRPr="00F40EAB" w:rsidRDefault="00F40EAB">
      <w:pPr>
        <w:spacing w:after="120"/>
        <w:jc w:val="both"/>
        <w:rPr>
          <w:rFonts w:ascii="Arial" w:hAnsi="Arial" w:cs="Arial"/>
        </w:rPr>
      </w:pPr>
      <w:r w:rsidRPr="00F40EAB">
        <w:rPr>
          <w:rFonts w:ascii="Arial" w:hAnsi="Arial" w:cs="Arial"/>
          <w:b/>
          <w:bCs/>
        </w:rPr>
        <w:t>Fundamentos pedagógicos de la NEM</w:t>
      </w:r>
    </w:p>
    <w:p w14:paraId="725C880E" w14:textId="77777777" w:rsidR="00073187" w:rsidRPr="00F40EAB" w:rsidRDefault="00F40EAB">
      <w:pPr>
        <w:spacing w:after="120"/>
        <w:ind w:firstLine="708"/>
        <w:jc w:val="both"/>
        <w:rPr>
          <w:rFonts w:ascii="Arial" w:hAnsi="Arial" w:cs="Arial"/>
        </w:rPr>
      </w:pPr>
      <w:r w:rsidRPr="00F40EAB">
        <w:rPr>
          <w:rFonts w:ascii="Arial" w:hAnsi="Arial" w:cs="Arial"/>
        </w:rPr>
        <w:t>La NEM se inscribe deliberadamente en una síntesis de tres tradiciones pedagógicas: el socioconstructivismo, el humanismo y la pedagogía crítica (Vidal-Salgado et al., 2025). Conviene precisar que esta síntesis no apunta al éxito académico medible; busca formar sujetos con capacidad de juicio crítico y disposición para intervenir en su realidad social. No es el objetivo típico de los modelos escolares convencionales, y eso conviene tenerlo presente al evaluar los resultados.</w:t>
      </w:r>
    </w:p>
    <w:p w14:paraId="62DC6B42" w14:textId="77777777" w:rsidR="00073187" w:rsidRPr="00F40EAB" w:rsidRDefault="00F40EAB">
      <w:pPr>
        <w:spacing w:after="120"/>
        <w:jc w:val="both"/>
        <w:rPr>
          <w:rFonts w:ascii="Arial" w:hAnsi="Arial" w:cs="Arial"/>
          <w:b/>
          <w:bCs/>
        </w:rPr>
      </w:pPr>
      <w:r w:rsidRPr="00F40EAB">
        <w:rPr>
          <w:rFonts w:ascii="Arial" w:hAnsi="Arial" w:cs="Arial"/>
          <w:i/>
          <w:iCs/>
        </w:rPr>
        <w:t>El constructivismo y la pedagogía crítica</w:t>
      </w:r>
      <w:r w:rsidRPr="00F40EAB">
        <w:rPr>
          <w:rFonts w:ascii="Arial" w:hAnsi="Arial" w:cs="Arial"/>
          <w:b/>
          <w:bCs/>
        </w:rPr>
        <w:t xml:space="preserve"> </w:t>
      </w:r>
    </w:p>
    <w:p w14:paraId="3D0BABA7" w14:textId="77777777" w:rsidR="00073187" w:rsidRPr="00F40EAB" w:rsidRDefault="00F40EAB">
      <w:pPr>
        <w:spacing w:after="120"/>
        <w:ind w:firstLine="708"/>
        <w:jc w:val="both"/>
        <w:rPr>
          <w:rFonts w:ascii="Arial" w:hAnsi="Arial" w:cs="Arial"/>
        </w:rPr>
      </w:pPr>
      <w:r w:rsidRPr="00F40EAB">
        <w:rPr>
          <w:rFonts w:ascii="Arial" w:hAnsi="Arial" w:cs="Arial"/>
        </w:rPr>
        <w:t>Las metodologías que este modelo promueve tienen su raíz epistemológica en el constructivismo y el socioconstructivismo (Arteaga-Marín et al., 2024; Morocho Carrión et al., 2025). La teoría ausubeliana del aprendizaje significativo justifica anclar los saberes nuevos en las estructuras cognitivas previas del alumnado, mediante secuencias didácticas orientadas a la aplicación práctica (Trejo-Trejo et al., 2024). Desde Vygotsky y Piaget, el socioconstructivismo posiciona al estudiante en otro lugar: deja de ser receptor y pasa a edificar saber a través de la interacción social y la resolución de problemas auténticos (Morocho Carrión et al., 2025). A esta base se suma la pedagogía crítica freireana, cimiento del aprendizaje de base comunitaria: el alumnado aprende a reconocer, cuestionar y plantear respuestas frente a los problemas de su realidad inmediata (Kiyani et al., 2020).</w:t>
      </w:r>
    </w:p>
    <w:p w14:paraId="03C4F5FF" w14:textId="77777777" w:rsidR="00073187" w:rsidRPr="00F40EAB" w:rsidRDefault="00F40EAB">
      <w:pPr>
        <w:spacing w:after="120"/>
        <w:jc w:val="both"/>
        <w:rPr>
          <w:rFonts w:ascii="Arial" w:hAnsi="Arial" w:cs="Arial"/>
        </w:rPr>
      </w:pPr>
      <w:r w:rsidRPr="00F40EAB">
        <w:rPr>
          <w:rFonts w:ascii="Arial" w:hAnsi="Arial" w:cs="Arial"/>
          <w:b/>
          <w:bCs/>
        </w:rPr>
        <w:t>Metodologías activas en la educación básica</w:t>
      </w:r>
    </w:p>
    <w:p w14:paraId="361DE053" w14:textId="77777777" w:rsidR="00073187" w:rsidRPr="00F40EAB" w:rsidRDefault="00F40EAB">
      <w:pPr>
        <w:pBdr>
          <w:top w:val="nil"/>
          <w:left w:val="nil"/>
          <w:bottom w:val="nil"/>
          <w:right w:val="nil"/>
          <w:between w:val="nil"/>
        </w:pBdr>
        <w:spacing w:after="120"/>
        <w:ind w:firstLine="708"/>
        <w:jc w:val="both"/>
        <w:rPr>
          <w:rFonts w:ascii="Arial" w:hAnsi="Arial" w:cs="Arial"/>
        </w:rPr>
      </w:pPr>
      <w:r w:rsidRPr="00F40EAB">
        <w:rPr>
          <w:rFonts w:ascii="Arial" w:hAnsi="Arial" w:cs="Arial"/>
        </w:rPr>
        <w:t>El ABP y el aprendizaje por problemas tienen respaldo teórico para desarrollar operaciones cognitivas complejas: análisis, síntesis, evaluación. ¿Cuándo funcionan realmente? Cuando el estudiante se enfrenta a una indagación auténtica, a un problema que no se resuelve con una fórmula aplicable. Ahí aparece la motivación. La dificultad operativa está en otra parte: en diseñar esas preguntas con suficiente profundidad; en sostener la indagación cuando el alumno se frustra; en resistir la tentación de adelantar la solución (Morocho Carrión et al., 2025; Portero &amp; Medina, 2025).</w:t>
      </w:r>
    </w:p>
    <w:p w14:paraId="33339BD5" w14:textId="77777777" w:rsidR="00073187" w:rsidRPr="00F40EAB" w:rsidRDefault="00F40EAB">
      <w:pPr>
        <w:pBdr>
          <w:top w:val="nil"/>
          <w:left w:val="nil"/>
          <w:bottom w:val="nil"/>
          <w:right w:val="nil"/>
          <w:between w:val="nil"/>
        </w:pBdr>
        <w:spacing w:after="120"/>
        <w:ind w:firstLine="708"/>
        <w:jc w:val="both"/>
        <w:rPr>
          <w:rFonts w:ascii="Arial" w:hAnsi="Arial" w:cs="Arial"/>
        </w:rPr>
      </w:pPr>
      <w:r w:rsidRPr="00F40EAB">
        <w:rPr>
          <w:rFonts w:ascii="Arial" w:hAnsi="Arial" w:cs="Arial"/>
        </w:rPr>
        <w:t xml:space="preserve">Estas metodologías constituyen, según la evidencia disponible, las estrategias con mayor soporte teórico para cultivar habilidades cognitivas superiores: el análisis, la síntesis y la evaluación crítica (Morocho Carrión et al., 2025). Su efecto sobre la </w:t>
      </w:r>
      <w:r w:rsidRPr="00F40EAB">
        <w:rPr>
          <w:rFonts w:ascii="Arial" w:hAnsi="Arial" w:cs="Arial"/>
        </w:rPr>
        <w:lastRenderedPageBreak/>
        <w:t>motivación académica se explica por la naturaleza misma del trabajo que demandan, pues comprometen al alumnado en procesos de indagación sostenida en el tiempo (Morocho Carrión et al., 2025; Portero &amp; Medina, 2025).</w:t>
      </w:r>
    </w:p>
    <w:p w14:paraId="5DEDFF63" w14:textId="77777777" w:rsidR="00073187" w:rsidRPr="00F40EAB" w:rsidRDefault="00F40EAB">
      <w:pPr>
        <w:spacing w:after="120"/>
        <w:jc w:val="both"/>
        <w:rPr>
          <w:rFonts w:ascii="Arial" w:hAnsi="Arial" w:cs="Arial"/>
        </w:rPr>
      </w:pPr>
      <w:r w:rsidRPr="00F40EAB">
        <w:rPr>
          <w:rFonts w:ascii="Arial" w:hAnsi="Arial" w:cs="Arial"/>
        </w:rPr>
        <w:t>El enfoque STEAM combinado con trabajo cooperativo descansa sobre una base sólida: cultiva competencias que cruzan disciplinas (Lozano et al., 2022; Trejo-Trejo et al., 2024). El mecanismo es éste: el estudiante aborda un proyecto que exige a la vez ciencia, tecnología, arte y matemáticas; pero no lo hace solo, lo negocia con otros, repartiendo responsabilidades. Allí reside la formación transversal: en la tensión entre la autonomía individual y el objetivo compartido.</w:t>
      </w:r>
    </w:p>
    <w:p w14:paraId="0E6B5DF9" w14:textId="77777777" w:rsidR="00073187" w:rsidRPr="00F40EAB" w:rsidRDefault="00F40EAB">
      <w:pPr>
        <w:spacing w:after="120"/>
        <w:jc w:val="both"/>
        <w:rPr>
          <w:rFonts w:ascii="Arial" w:hAnsi="Arial" w:cs="Arial"/>
        </w:rPr>
      </w:pPr>
      <w:r w:rsidRPr="00F40EAB">
        <w:rPr>
          <w:rFonts w:ascii="Arial" w:hAnsi="Arial" w:cs="Arial"/>
        </w:rPr>
        <w:t>Una pedagogía que desatiende el contexto territorial no fracasa por accidente; traiciona el propósito mismo de la NEM. Cuando ese contexto es además vulnerable, la traición se duplica. De ahí que la literatura insista en una educación situada, enraizada en el lugar: proyectos que no descienden por mandato sino que emergen de las preguntas vivas y las urgencias materiales de la comunidad (Acero, 2020; Videla et al., 2021).</w:t>
      </w:r>
    </w:p>
    <w:p w14:paraId="4800C73D" w14:textId="77777777" w:rsidR="00073187" w:rsidRPr="00F40EAB" w:rsidRDefault="00F40EAB">
      <w:pPr>
        <w:spacing w:after="120"/>
        <w:jc w:val="both"/>
        <w:rPr>
          <w:rFonts w:ascii="Arial" w:hAnsi="Arial" w:cs="Arial"/>
        </w:rPr>
      </w:pPr>
      <w:r w:rsidRPr="00F40EAB">
        <w:rPr>
          <w:rFonts w:ascii="Arial" w:hAnsi="Arial" w:cs="Arial"/>
          <w:b/>
          <w:bCs/>
        </w:rPr>
        <w:t>El rol docente y los retos de implementación</w:t>
      </w:r>
    </w:p>
    <w:p w14:paraId="60E84853" w14:textId="77777777" w:rsidR="00073187" w:rsidRPr="00F40EAB" w:rsidRDefault="00F40EAB">
      <w:pPr>
        <w:spacing w:after="120"/>
        <w:ind w:firstLine="708"/>
        <w:jc w:val="both"/>
        <w:rPr>
          <w:rFonts w:ascii="Arial" w:hAnsi="Arial" w:cs="Arial"/>
        </w:rPr>
      </w:pPr>
      <w:r w:rsidRPr="00F40EAB">
        <w:rPr>
          <w:rFonts w:ascii="Arial" w:hAnsi="Arial" w:cs="Arial"/>
        </w:rPr>
        <w:t>El giro de la NEM exige un cambio de rol docente: de transmisor a mediador, de distribuidor de contenidos a facilitador de procesos (Arteaga-Marín et al., 2024; Portero &amp; Medina, 2025). Conviene ser claro: esta transformación no es teórica. Afecta cómo el docente planifica, qué pregunta en clase, cómo responde al silencio del estudiante. No obstante, la literatura empírica señala que esta transición enfrenta importantes barreras estructurales e institucionales (Durand Villalobos &amp; Benítez Alcaraz, 2025).</w:t>
      </w:r>
    </w:p>
    <w:p w14:paraId="4A2B77D6" w14:textId="025DF367" w:rsidR="00073187" w:rsidRDefault="00F40EAB">
      <w:pPr>
        <w:spacing w:after="120" w:line="276" w:lineRule="auto"/>
        <w:ind w:firstLine="708"/>
        <w:jc w:val="both"/>
        <w:rPr>
          <w:rFonts w:ascii="Arial" w:hAnsi="Arial" w:cs="Arial"/>
        </w:rPr>
      </w:pPr>
      <w:r w:rsidRPr="00F40EAB">
        <w:rPr>
          <w:rFonts w:ascii="Arial" w:hAnsi="Arial" w:cs="Arial"/>
        </w:rPr>
        <w:t>Aquí aparece una tensión. Se promete autonomía curricular; se exigen informes administrativos. El docente vive esto como una mentira: la autonomía es, en los hechos, un mandato sin presupuesto (Durand Villalobos &amp; Benítez Alcaraz, 2025; Macias Monroy, 2025). A esto se suma otro problema: la capacitación que ofrece el Estado (en cascada, abstracta, lejana del aula) confunde más que aclara. La evidencia es concluyente al afirmar que las metodologías activas solo logran su potencial de justicia curricular e innovación cuando el colectivo docente recibe apoyo institucional, tiempos adecuados para la planeación interdisciplinaria y un acompañamiento pedagógico sostenido y situado (De los Santos Urias &amp; Tinajero Villavicencio, 2025; Macias Monroy, 2025).</w:t>
      </w:r>
    </w:p>
    <w:p w14:paraId="694F5CEE" w14:textId="33117175" w:rsidR="00916FA5" w:rsidRDefault="00916FA5">
      <w:pPr>
        <w:spacing w:after="120" w:line="276" w:lineRule="auto"/>
        <w:ind w:firstLine="708"/>
        <w:jc w:val="both"/>
        <w:rPr>
          <w:rFonts w:ascii="Arial" w:hAnsi="Arial" w:cs="Arial"/>
        </w:rPr>
      </w:pPr>
    </w:p>
    <w:p w14:paraId="3F3A64DA" w14:textId="4EDA33E2" w:rsidR="00916FA5" w:rsidRDefault="00916FA5">
      <w:pPr>
        <w:spacing w:after="120" w:line="276" w:lineRule="auto"/>
        <w:ind w:firstLine="708"/>
        <w:jc w:val="both"/>
        <w:rPr>
          <w:rFonts w:ascii="Arial" w:hAnsi="Arial" w:cs="Arial"/>
        </w:rPr>
      </w:pPr>
    </w:p>
    <w:p w14:paraId="2405398C" w14:textId="6B1BA91B" w:rsidR="00916FA5" w:rsidRDefault="00916FA5">
      <w:pPr>
        <w:spacing w:after="120" w:line="276" w:lineRule="auto"/>
        <w:ind w:firstLine="708"/>
        <w:jc w:val="both"/>
        <w:rPr>
          <w:rFonts w:ascii="Arial" w:hAnsi="Arial" w:cs="Arial"/>
        </w:rPr>
      </w:pPr>
    </w:p>
    <w:p w14:paraId="1F334E2C" w14:textId="77777777" w:rsidR="00916FA5" w:rsidRPr="00F40EAB" w:rsidRDefault="00916FA5">
      <w:pPr>
        <w:spacing w:after="120" w:line="276" w:lineRule="auto"/>
        <w:ind w:firstLine="708"/>
        <w:jc w:val="both"/>
        <w:rPr>
          <w:rFonts w:ascii="Arial" w:hAnsi="Arial" w:cs="Arial"/>
          <w:b/>
          <w:bCs/>
        </w:rPr>
      </w:pPr>
    </w:p>
    <w:p w14:paraId="00A124DD" w14:textId="77777777" w:rsidR="00073187" w:rsidRPr="00F40EAB" w:rsidRDefault="00F40EAB">
      <w:pPr>
        <w:spacing w:line="480" w:lineRule="auto"/>
        <w:ind w:left="360" w:hanging="360"/>
        <w:jc w:val="center"/>
        <w:rPr>
          <w:rFonts w:ascii="Arial" w:hAnsi="Arial" w:cs="Arial"/>
          <w:b/>
          <w:bCs/>
        </w:rPr>
      </w:pPr>
      <w:r w:rsidRPr="00F40EAB">
        <w:rPr>
          <w:rFonts w:ascii="Arial" w:hAnsi="Arial" w:cs="Arial"/>
          <w:b/>
          <w:bCs/>
        </w:rPr>
        <w:lastRenderedPageBreak/>
        <w:t>Materiales y métodos</w:t>
      </w:r>
    </w:p>
    <w:p w14:paraId="410FD6C7" w14:textId="77777777" w:rsidR="00073187" w:rsidRPr="00F40EAB" w:rsidRDefault="00F40EAB">
      <w:pPr>
        <w:spacing w:after="120"/>
        <w:jc w:val="both"/>
        <w:rPr>
          <w:rFonts w:ascii="Arial" w:hAnsi="Arial" w:cs="Arial"/>
        </w:rPr>
      </w:pPr>
      <w:r w:rsidRPr="00F40EAB">
        <w:rPr>
          <w:rFonts w:ascii="Arial" w:hAnsi="Arial" w:cs="Arial"/>
          <w:b/>
          <w:bCs/>
        </w:rPr>
        <w:t>Diseño de la investigación</w:t>
      </w:r>
    </w:p>
    <w:p w14:paraId="17AF5561" w14:textId="1A73FAE3" w:rsidR="00073187" w:rsidRPr="00F40EAB" w:rsidRDefault="00F40EAB">
      <w:pPr>
        <w:spacing w:after="120"/>
        <w:ind w:firstLine="708"/>
        <w:jc w:val="both"/>
        <w:rPr>
          <w:rFonts w:ascii="Arial" w:hAnsi="Arial" w:cs="Arial"/>
        </w:rPr>
      </w:pPr>
      <w:r w:rsidRPr="00F40EAB">
        <w:rPr>
          <w:rFonts w:ascii="Arial" w:hAnsi="Arial" w:cs="Arial"/>
        </w:rPr>
        <w:t xml:space="preserve">El presente estudio se desarrolló bajo un enfoque de métodos mixtos con un diseño de triangulación concurrente. El estudio combina un diseño transversal descriptivo para el análisis de las percepciones docentes y directivas, con un diseño longitudinal retrospectivo </w:t>
      </w:r>
      <w:r w:rsidR="00E57877" w:rsidRPr="00F40EAB">
        <w:rPr>
          <w:rFonts w:ascii="Arial" w:hAnsi="Arial" w:cs="Arial"/>
        </w:rPr>
        <w:t>de cohortes p</w:t>
      </w:r>
      <w:r w:rsidRPr="00F40EAB">
        <w:rPr>
          <w:rFonts w:ascii="Arial" w:hAnsi="Arial" w:cs="Arial"/>
        </w:rPr>
        <w:t>ara la evaluación de los registros académicos. Esta estructura metodológica permitió contrastar las actitudes reportadas con los resultados tangibles de aprendizaje a lo largo del tiempo.</w:t>
      </w:r>
    </w:p>
    <w:p w14:paraId="3C6B3B50" w14:textId="77777777" w:rsidR="00073187" w:rsidRPr="00F40EAB" w:rsidRDefault="00F40EAB">
      <w:pPr>
        <w:spacing w:after="120"/>
        <w:jc w:val="both"/>
        <w:rPr>
          <w:rFonts w:ascii="Arial" w:hAnsi="Arial" w:cs="Arial"/>
        </w:rPr>
      </w:pPr>
      <w:r w:rsidRPr="00F40EAB">
        <w:rPr>
          <w:rFonts w:ascii="Arial" w:hAnsi="Arial" w:cs="Arial"/>
          <w:b/>
          <w:bCs/>
        </w:rPr>
        <w:t>Muestra</w:t>
      </w:r>
    </w:p>
    <w:p w14:paraId="78CF3411" w14:textId="1CA448B1" w:rsidR="00073187" w:rsidRPr="00F40EAB" w:rsidRDefault="00F40EAB">
      <w:pPr>
        <w:spacing w:after="120"/>
        <w:ind w:firstLine="708"/>
        <w:jc w:val="both"/>
        <w:rPr>
          <w:rFonts w:ascii="Arial" w:hAnsi="Arial" w:cs="Arial"/>
        </w:rPr>
      </w:pPr>
      <w:r w:rsidRPr="00F40EAB">
        <w:rPr>
          <w:rFonts w:ascii="Arial" w:hAnsi="Arial" w:cs="Arial"/>
        </w:rPr>
        <w:t xml:space="preserve">La selección de la muestra se realizó mediante un muestreo no probabilístico por conveniencia. Los participantes del componente cuantitativo fueron los docentes frente a grupo </w:t>
      </w:r>
      <w:r w:rsidR="00E57877" w:rsidRPr="00F40EAB">
        <w:rPr>
          <w:rFonts w:ascii="Arial" w:hAnsi="Arial" w:cs="Arial"/>
        </w:rPr>
        <w:t>(</w:t>
      </w:r>
      <m:oMath>
        <m:r>
          <w:rPr>
            <w:rFonts w:ascii="Cambria Math" w:hAnsi="Cambria Math" w:cs="Arial"/>
          </w:rPr>
          <m:t>n=5</m:t>
        </m:r>
      </m:oMath>
      <w:r w:rsidR="00E57877" w:rsidRPr="00F40EAB">
        <w:rPr>
          <w:rFonts w:ascii="Arial" w:hAnsi="Arial" w:cs="Arial"/>
        </w:rPr>
        <w:t xml:space="preserve">) </w:t>
      </w:r>
      <w:r w:rsidRPr="00F40EAB">
        <w:rPr>
          <w:rFonts w:ascii="Arial" w:hAnsi="Arial" w:cs="Arial"/>
        </w:rPr>
        <w:t xml:space="preserve">de una escuela primaria en Celaya, Guanajuato. Para el componente cualitativo, se contó con la participación de la directora del plantel, quien aportó la perspectiva estratégica y de gestión. Finalmente, para el componente longitudinal, se incluyó el universo de los promedios generales académicos de todos los grupos, </w:t>
      </w:r>
      <w:r w:rsidR="00E57877" w:rsidRPr="00F40EAB">
        <w:rPr>
          <w:rFonts w:ascii="Arial" w:hAnsi="Arial" w:cs="Arial"/>
        </w:rPr>
        <w:t>correspondientes a los ciclos escolares 2024-2025 (16</w:t>
      </w:r>
      <w:r w:rsidR="00360102" w:rsidRPr="00F40EAB">
        <w:rPr>
          <w:rFonts w:ascii="Arial" w:hAnsi="Arial" w:cs="Arial"/>
        </w:rPr>
        <w:t>6</w:t>
      </w:r>
      <w:r w:rsidR="00E57877" w:rsidRPr="00F40EAB">
        <w:rPr>
          <w:rFonts w:ascii="Arial" w:hAnsi="Arial" w:cs="Arial"/>
        </w:rPr>
        <w:t xml:space="preserve"> alumnos) y 2025-2026 (172 alumnos), </w:t>
      </w:r>
      <w:r w:rsidRPr="00F40EAB">
        <w:rPr>
          <w:rFonts w:ascii="Arial" w:hAnsi="Arial" w:cs="Arial"/>
        </w:rPr>
        <w:t>resguardando el anonimato del alumnado.</w:t>
      </w:r>
    </w:p>
    <w:p w14:paraId="400D5F5F" w14:textId="77777777" w:rsidR="00073187" w:rsidRPr="00F40EAB" w:rsidRDefault="00F40EAB">
      <w:pPr>
        <w:spacing w:after="120"/>
        <w:jc w:val="both"/>
        <w:rPr>
          <w:rFonts w:ascii="Arial" w:hAnsi="Arial" w:cs="Arial"/>
        </w:rPr>
      </w:pPr>
      <w:r w:rsidRPr="00F40EAB">
        <w:rPr>
          <w:rFonts w:ascii="Arial" w:hAnsi="Arial" w:cs="Arial"/>
          <w:b/>
          <w:bCs/>
        </w:rPr>
        <w:t>Instrumentos de recolección de datos</w:t>
      </w:r>
    </w:p>
    <w:p w14:paraId="5C108844" w14:textId="77777777" w:rsidR="00073187" w:rsidRPr="00F40EAB" w:rsidRDefault="00F40EAB">
      <w:pPr>
        <w:spacing w:after="120"/>
        <w:ind w:firstLine="708"/>
        <w:jc w:val="both"/>
        <w:rPr>
          <w:rFonts w:ascii="Arial" w:hAnsi="Arial" w:cs="Arial"/>
        </w:rPr>
      </w:pPr>
      <w:r w:rsidRPr="00F40EAB">
        <w:rPr>
          <w:rFonts w:ascii="Arial" w:hAnsi="Arial" w:cs="Arial"/>
        </w:rPr>
        <w:t>Para la medición cuantitativa de la percepción docente, se utilizó un cuestionario conformado por 12 ítems estructurados bajo una escala tipo Likert de cinco niveles (desde 1 = Totalmente en desacuerdo, hasta 5 = Totalmente de acuerdo). Este instrumento fue diseñado originalmente por Franco Chávez y Muñoz Mújica (2025) para evaluar las actitudes docentes frente a la Reforma Educativa 2022. Su validación de contenido se realizó mediante el método de juicio de expertos (directivos escolares), y demostró una alta consistencia interna con un coeficiente alfa de Cronbach superior a 0.90 tanto en su fase de pilotaje como en su aplicación final.</w:t>
      </w:r>
    </w:p>
    <w:p w14:paraId="014880DC" w14:textId="77777777" w:rsidR="00073187" w:rsidRPr="00F40EAB" w:rsidRDefault="00F40EAB">
      <w:pPr>
        <w:spacing w:after="120"/>
        <w:ind w:firstLine="708"/>
        <w:jc w:val="both"/>
        <w:rPr>
          <w:rFonts w:ascii="Arial" w:hAnsi="Arial" w:cs="Arial"/>
        </w:rPr>
      </w:pPr>
      <w:r w:rsidRPr="00F40EAB">
        <w:rPr>
          <w:rFonts w:ascii="Arial" w:hAnsi="Arial" w:cs="Arial"/>
        </w:rPr>
        <w:t>Para el levantamiento de datos cualitativos, se empleó una entrevista semiestructurada dirigida a la dirección escolar. El guion constó de preguntas abiertas categorizadas en cuatro ejes centrales alineados con el cuestionario: 1) Comprensión del modelo y disposición docente, 2) Capacitación y acompañamiento, 3) Transformación metodológica y evaluación, y 4) Inclusión y vínculo comunitario.</w:t>
      </w:r>
    </w:p>
    <w:p w14:paraId="55841777" w14:textId="77777777" w:rsidR="00073187" w:rsidRPr="00F40EAB" w:rsidRDefault="00F40EAB">
      <w:pPr>
        <w:spacing w:after="120"/>
        <w:jc w:val="both"/>
        <w:rPr>
          <w:rFonts w:ascii="Arial" w:hAnsi="Arial" w:cs="Arial"/>
        </w:rPr>
      </w:pPr>
      <w:r w:rsidRPr="00F40EAB">
        <w:rPr>
          <w:rFonts w:ascii="Arial" w:hAnsi="Arial" w:cs="Arial"/>
          <w:b/>
          <w:bCs/>
        </w:rPr>
        <w:t>Procedimientos y análisis de datos</w:t>
      </w:r>
    </w:p>
    <w:p w14:paraId="47851C21" w14:textId="37909371" w:rsidR="00073187" w:rsidRPr="00F40EAB" w:rsidRDefault="00F40EAB">
      <w:pPr>
        <w:spacing w:after="120"/>
        <w:ind w:firstLine="708"/>
        <w:jc w:val="both"/>
        <w:rPr>
          <w:rFonts w:ascii="Arial" w:hAnsi="Arial" w:cs="Arial"/>
        </w:rPr>
      </w:pPr>
      <w:r w:rsidRPr="00F40EAB">
        <w:rPr>
          <w:rFonts w:ascii="Arial" w:hAnsi="Arial" w:cs="Arial"/>
        </w:rPr>
        <w:t xml:space="preserve">La recolección de datos inició con la aplicación digital del cuestionario al colectivo docente y la realización de la entrevista directiva, previo consentimiento informado. </w:t>
      </w:r>
      <w:r w:rsidR="00E57877" w:rsidRPr="00F40EAB">
        <w:rPr>
          <w:rFonts w:ascii="Arial" w:hAnsi="Arial" w:cs="Arial"/>
        </w:rPr>
        <w:t xml:space="preserve">Se reservaron el nombre del plantel y de la localidad, y los registros académicos se recibieron anonimizados por la administración escolar. </w:t>
      </w:r>
      <w:r w:rsidRPr="00F40EAB">
        <w:rPr>
          <w:rFonts w:ascii="Arial" w:hAnsi="Arial" w:cs="Arial"/>
        </w:rPr>
        <w:t>Simultáneamente, se extrajeron los registros históricos de calificaciones a través de la administración escolar. El procesamiento de la información se dividió en tres fases:</w:t>
      </w:r>
    </w:p>
    <w:p w14:paraId="5894F282" w14:textId="77777777" w:rsidR="00073187" w:rsidRPr="00F40EAB" w:rsidRDefault="00F40EAB">
      <w:pPr>
        <w:spacing w:after="120"/>
        <w:jc w:val="both"/>
        <w:rPr>
          <w:rFonts w:ascii="Arial" w:hAnsi="Arial" w:cs="Arial"/>
        </w:rPr>
      </w:pPr>
      <w:r w:rsidRPr="00F40EAB">
        <w:rPr>
          <w:rFonts w:ascii="Arial" w:hAnsi="Arial" w:cs="Arial"/>
          <w:i/>
          <w:iCs/>
        </w:rPr>
        <w:t>Análisis cuantitativo transversal</w:t>
      </w:r>
    </w:p>
    <w:p w14:paraId="65283ADE" w14:textId="77777777" w:rsidR="00073187" w:rsidRPr="00F40EAB" w:rsidRDefault="00F40EAB">
      <w:pPr>
        <w:spacing w:after="120"/>
        <w:ind w:firstLine="708"/>
        <w:jc w:val="both"/>
        <w:rPr>
          <w:rFonts w:ascii="Arial" w:hAnsi="Arial" w:cs="Arial"/>
        </w:rPr>
      </w:pPr>
      <w:r w:rsidRPr="00F40EAB">
        <w:rPr>
          <w:rFonts w:ascii="Arial" w:hAnsi="Arial" w:cs="Arial"/>
        </w:rPr>
        <w:lastRenderedPageBreak/>
        <w:t>Las respuestas del cuestionario Likert se procesaron con medias y desviaciones estándar. Las preguntas centrales: ¿qué tan apropiado se sentía el profesorado del modelo? ¿Dónde localizaban los obstáculos?</w:t>
      </w:r>
    </w:p>
    <w:p w14:paraId="53674817" w14:textId="77777777" w:rsidR="00073187" w:rsidRPr="00F40EAB" w:rsidRDefault="00F40EAB">
      <w:pPr>
        <w:spacing w:after="120"/>
        <w:jc w:val="both"/>
        <w:rPr>
          <w:rFonts w:ascii="Arial" w:hAnsi="Arial" w:cs="Arial"/>
        </w:rPr>
      </w:pPr>
      <w:r w:rsidRPr="00F40EAB">
        <w:rPr>
          <w:rFonts w:ascii="Arial" w:hAnsi="Arial" w:cs="Arial"/>
          <w:i/>
          <w:iCs/>
        </w:rPr>
        <w:t>Análisis cuantitativo longitudinal</w:t>
      </w:r>
    </w:p>
    <w:p w14:paraId="05BDCE43" w14:textId="6A86471A" w:rsidR="00225C29" w:rsidRPr="00F40EAB" w:rsidRDefault="00F40EAB">
      <w:pPr>
        <w:spacing w:after="120"/>
        <w:ind w:firstLine="708"/>
        <w:jc w:val="both"/>
        <w:rPr>
          <w:rFonts w:ascii="Arial" w:hAnsi="Arial" w:cs="Arial"/>
        </w:rPr>
      </w:pPr>
      <w:r w:rsidRPr="00F40EAB">
        <w:rPr>
          <w:rFonts w:ascii="Arial" w:hAnsi="Arial" w:cs="Arial"/>
        </w:rPr>
        <w:t xml:space="preserve">Se compararon los promedios académicos </w:t>
      </w:r>
      <w:r w:rsidR="00E57877" w:rsidRPr="00F40EAB">
        <w:rPr>
          <w:rFonts w:ascii="Arial" w:hAnsi="Arial" w:cs="Arial"/>
        </w:rPr>
        <w:t xml:space="preserve">finales </w:t>
      </w:r>
      <w:r w:rsidRPr="00F40EAB">
        <w:rPr>
          <w:rFonts w:ascii="Arial" w:hAnsi="Arial" w:cs="Arial"/>
        </w:rPr>
        <w:t xml:space="preserve">de dos ciclos escolares: </w:t>
      </w:r>
      <w:r w:rsidR="0059551B" w:rsidRPr="00F40EAB">
        <w:rPr>
          <w:rFonts w:ascii="Arial" w:hAnsi="Arial" w:cs="Arial"/>
        </w:rPr>
        <w:t>2024-2025 y 2025-2026, segundo y tercer ciclos de aplicación del Plan de Estudio 2022</w:t>
      </w:r>
      <w:r w:rsidRPr="00F40EAB">
        <w:rPr>
          <w:rFonts w:ascii="Arial" w:hAnsi="Arial" w:cs="Arial"/>
        </w:rPr>
        <w:t xml:space="preserve">. </w:t>
      </w:r>
      <w:r w:rsidR="00225C29" w:rsidRPr="00F40EAB">
        <w:rPr>
          <w:rFonts w:ascii="Arial" w:hAnsi="Arial" w:cs="Arial"/>
        </w:rPr>
        <w:t>Para que la comparación se realizara sobre las mismas cohortes, se excluyeron los 21 alumnos de sexto grado de 2024-2025, que egresaron, y los 27 alumnos de primer grado de 2025-2026, de nuevo ingreso; quedaron 14</w:t>
      </w:r>
      <w:r w:rsidR="0059551B" w:rsidRPr="00F40EAB">
        <w:rPr>
          <w:rFonts w:ascii="Arial" w:hAnsi="Arial" w:cs="Arial"/>
        </w:rPr>
        <w:t>5</w:t>
      </w:r>
      <w:r w:rsidR="00225C29" w:rsidRPr="00F40EAB">
        <w:rPr>
          <w:rFonts w:ascii="Arial" w:hAnsi="Arial" w:cs="Arial"/>
        </w:rPr>
        <w:t xml:space="preserve"> registros en 2024-2025 (primero a quinto grado) y 145 en 2025-2026 (segundo a sexto grado). Dado que solo se contó con los registros anonimizados por ciclo, sin un identificador que vincule a cada alumno entre ambos años, la comparación se realizó a nivel de cohorte y no de pares individuales: se aplicó la prueba </w:t>
      </w:r>
      <w:r w:rsidR="00225C29" w:rsidRPr="00F40EAB">
        <w:rPr>
          <w:rFonts w:ascii="Arial" w:hAnsi="Arial" w:cs="Arial"/>
          <w:i/>
          <w:iCs/>
        </w:rPr>
        <w:t>t</w:t>
      </w:r>
      <w:r w:rsidR="00225C29" w:rsidRPr="00F40EAB">
        <w:rPr>
          <w:rFonts w:ascii="Arial" w:hAnsi="Arial" w:cs="Arial"/>
        </w:rPr>
        <w:t xml:space="preserve"> de Welch para muestras independientes, se estimaron el intervalo de confianza del 95 % para la diferencia de medias y el tamaño del efecto mediante la </w:t>
      </w:r>
      <w:r w:rsidR="00225C29" w:rsidRPr="00F40EAB">
        <w:rPr>
          <w:rFonts w:ascii="Arial" w:hAnsi="Arial" w:cs="Arial"/>
          <w:i/>
          <w:iCs/>
        </w:rPr>
        <w:t>g</w:t>
      </w:r>
      <w:r w:rsidR="00225C29" w:rsidRPr="00F40EAB">
        <w:rPr>
          <w:rFonts w:ascii="Arial" w:hAnsi="Arial" w:cs="Arial"/>
        </w:rPr>
        <w:t xml:space="preserve"> de Hedges, y el resultado se verificó con la prueba U de Mann-Whitney. Se trata, por tanto, de un seguimiento longitudinal de cohortes con dos mediciones. </w:t>
      </w:r>
      <w:r w:rsidR="00B6428F" w:rsidRPr="00F40EAB">
        <w:rPr>
          <w:rFonts w:ascii="Arial" w:hAnsi="Arial" w:cs="Arial"/>
        </w:rPr>
        <w:t xml:space="preserve">Aunque no fue posible establecer el emparejamiento individual, las cohortes pueden incluir estudiantes presentes en ambos ciclos. Esta posible dependencia no pudo incorporarse al análisis y constituye una limitación para interpretar los valores </w:t>
      </w:r>
      <w:r w:rsidR="00B6428F" w:rsidRPr="00F40EAB">
        <w:rPr>
          <w:rFonts w:ascii="Arial" w:hAnsi="Arial" w:cs="Arial"/>
          <w:i/>
          <w:iCs/>
        </w:rPr>
        <w:t>p</w:t>
      </w:r>
      <w:r w:rsidR="00B6428F" w:rsidRPr="00F40EAB">
        <w:rPr>
          <w:rFonts w:ascii="Arial" w:hAnsi="Arial" w:cs="Arial"/>
        </w:rPr>
        <w:t xml:space="preserve"> y los intervalos de confianza obtenidos mediante pruebas para muestras independientes.</w:t>
      </w:r>
    </w:p>
    <w:p w14:paraId="3C457458" w14:textId="3B4BE811" w:rsidR="00073187" w:rsidRPr="00F40EAB" w:rsidRDefault="00225C29" w:rsidP="002613AD">
      <w:pPr>
        <w:spacing w:after="120"/>
        <w:ind w:firstLine="708"/>
        <w:jc w:val="both"/>
        <w:rPr>
          <w:rFonts w:ascii="Arial" w:hAnsi="Arial" w:cs="Arial"/>
        </w:rPr>
      </w:pPr>
      <w:r w:rsidRPr="00F40EAB">
        <w:rPr>
          <w:rFonts w:ascii="Arial" w:hAnsi="Arial" w:cs="Arial"/>
        </w:rPr>
        <w:t xml:space="preserve">Los resultados del SisAT no se incorporaron a esta comparación porque </w:t>
      </w:r>
      <w:r w:rsidR="002613AD" w:rsidRPr="00F40EAB">
        <w:rPr>
          <w:rFonts w:ascii="Arial" w:hAnsi="Arial" w:cs="Arial"/>
        </w:rPr>
        <w:t>el instrumento eval</w:t>
      </w:r>
      <w:r w:rsidR="0038043D">
        <w:rPr>
          <w:rFonts w:ascii="Arial" w:hAnsi="Arial" w:cs="Arial"/>
        </w:rPr>
        <w:t>ú</w:t>
      </w:r>
      <w:r w:rsidR="002613AD" w:rsidRPr="00F40EAB">
        <w:rPr>
          <w:rFonts w:ascii="Arial" w:hAnsi="Arial" w:cs="Arial"/>
        </w:rPr>
        <w:t xml:space="preserve">a solo tres habilidades (lectura, producción de textos y cálculo mental), mientras que el promedio </w:t>
      </w:r>
      <w:r w:rsidR="005F1191" w:rsidRPr="00F40EAB">
        <w:rPr>
          <w:rFonts w:ascii="Arial" w:hAnsi="Arial" w:cs="Arial"/>
        </w:rPr>
        <w:t>general</w:t>
      </w:r>
      <w:r w:rsidR="002613AD" w:rsidRPr="00F40EAB">
        <w:rPr>
          <w:rFonts w:ascii="Arial" w:hAnsi="Arial" w:cs="Arial"/>
        </w:rPr>
        <w:t xml:space="preserve"> integra los cuatro campos formativos; su comparación desplazaría el foco del estudio hacia habilidades específicas.</w:t>
      </w:r>
      <w:r w:rsidRPr="00F40EAB">
        <w:rPr>
          <w:rFonts w:ascii="Arial" w:hAnsi="Arial" w:cs="Arial"/>
        </w:rPr>
        <w:t xml:space="preserve"> </w:t>
      </w:r>
      <w:r w:rsidR="002613AD" w:rsidRPr="00F40EAB">
        <w:rPr>
          <w:rFonts w:ascii="Arial" w:hAnsi="Arial" w:cs="Arial"/>
        </w:rPr>
        <w:t>P</w:t>
      </w:r>
      <w:r w:rsidRPr="00F40EAB">
        <w:rPr>
          <w:rFonts w:ascii="Arial" w:hAnsi="Arial" w:cs="Arial"/>
        </w:rPr>
        <w:t>or ello, en este estudio se emplean únicamente como antecedente contextual.</w:t>
      </w:r>
    </w:p>
    <w:p w14:paraId="4F8D3394" w14:textId="77777777" w:rsidR="00073187" w:rsidRPr="00F40EAB" w:rsidRDefault="00F40EAB">
      <w:pPr>
        <w:spacing w:after="120"/>
        <w:jc w:val="both"/>
        <w:rPr>
          <w:rFonts w:ascii="Arial" w:hAnsi="Arial" w:cs="Arial"/>
        </w:rPr>
      </w:pPr>
      <w:r w:rsidRPr="00F40EAB">
        <w:rPr>
          <w:rFonts w:ascii="Arial" w:hAnsi="Arial" w:cs="Arial"/>
          <w:i/>
          <w:iCs/>
        </w:rPr>
        <w:t>Análisis cualitativo</w:t>
      </w:r>
    </w:p>
    <w:p w14:paraId="770085E9" w14:textId="77777777" w:rsidR="00073187" w:rsidRPr="00F40EAB" w:rsidRDefault="00F40EAB">
      <w:pPr>
        <w:spacing w:after="120"/>
        <w:ind w:firstLine="708"/>
        <w:jc w:val="both"/>
        <w:rPr>
          <w:rFonts w:ascii="Arial" w:hAnsi="Arial" w:cs="Arial"/>
        </w:rPr>
      </w:pPr>
      <w:r w:rsidRPr="00F40EAB">
        <w:rPr>
          <w:rFonts w:ascii="Arial" w:hAnsi="Arial" w:cs="Arial"/>
        </w:rPr>
        <w:t>La entrevista directiva fue transcrita y sometida a un análisis de contenido temático, identificando categorías emergentes que explicaran los facilitadores y barreras en la gestión del nuevo modelo.</w:t>
      </w:r>
    </w:p>
    <w:p w14:paraId="194D716A" w14:textId="3CA4F792" w:rsidR="00225C29" w:rsidRPr="00F40EAB" w:rsidRDefault="00F40EAB" w:rsidP="00225C29">
      <w:pPr>
        <w:spacing w:after="120"/>
        <w:ind w:firstLine="708"/>
        <w:jc w:val="both"/>
        <w:rPr>
          <w:rFonts w:ascii="Arial" w:hAnsi="Arial" w:cs="Arial"/>
        </w:rPr>
      </w:pPr>
      <w:r w:rsidRPr="00F40EAB">
        <w:rPr>
          <w:rFonts w:ascii="Arial" w:hAnsi="Arial" w:cs="Arial"/>
        </w:rPr>
        <w:t xml:space="preserve">La triangulación final </w:t>
      </w:r>
      <w:r w:rsidR="00225C29" w:rsidRPr="00F40EAB">
        <w:rPr>
          <w:rFonts w:ascii="Arial" w:hAnsi="Arial" w:cs="Arial"/>
        </w:rPr>
        <w:t>fue de tipo interpretativo: para cada una de las cuatro dimensiones del estudio se contrastaron los niveles de percepción docente, las categorías emergentes de la entrevista directiva y, cuando correspondía, la variación de los promedios del alumnado, con el fin de identificar convergencias y divergencias. Dado el tamaño del colectivo docente (</w:t>
      </w:r>
      <m:oMath>
        <m:r>
          <w:rPr>
            <w:rFonts w:ascii="Cambria Math" w:hAnsi="Cambria Math" w:cs="Arial"/>
          </w:rPr>
          <m:t>n=5</m:t>
        </m:r>
      </m:oMath>
      <w:r w:rsidR="00225C29" w:rsidRPr="00F40EAB">
        <w:rPr>
          <w:rFonts w:ascii="Arial" w:hAnsi="Arial" w:cs="Arial"/>
        </w:rPr>
        <w:t>), este cruce no se realizó mediante pruebas estadísticas. La Tabla 4 presenta la matriz de triangulación resultante.</w:t>
      </w:r>
    </w:p>
    <w:p w14:paraId="2349F842" w14:textId="211FDC0D" w:rsidR="00073187" w:rsidRPr="00F40EAB" w:rsidRDefault="00B27CDA" w:rsidP="00B27CDA">
      <w:pPr>
        <w:pStyle w:val="NormalWeb"/>
        <w:spacing w:before="0" w:beforeAutospacing="0" w:after="120" w:afterAutospacing="0"/>
        <w:ind w:firstLine="708"/>
        <w:jc w:val="both"/>
      </w:pPr>
      <w:r w:rsidRPr="00F40EAB">
        <w:rPr>
          <w:rFonts w:ascii="Arial" w:hAnsi="Arial" w:cs="Arial"/>
        </w:rPr>
        <w:t>Se declara el uso de herramientas de Inteligencia Artificial (IA). Se empleó una herramienta para asistir en la transcripción automatizada de la entrevista de audio a texto, así como para la revisión de estilo y corrección ortotipográfica del manuscrito. Las herramientas de IA no generaron datos empíricos ni participaron en la interpretación de los resultados estadísticos o cualitativos.</w:t>
      </w:r>
    </w:p>
    <w:p w14:paraId="67C5C51B" w14:textId="77777777" w:rsidR="00073187" w:rsidRPr="00F40EAB" w:rsidRDefault="00F40EAB">
      <w:pPr>
        <w:spacing w:after="120"/>
        <w:jc w:val="center"/>
        <w:rPr>
          <w:rFonts w:ascii="Arial" w:hAnsi="Arial" w:cs="Arial"/>
          <w:b/>
          <w:bCs/>
        </w:rPr>
      </w:pPr>
      <w:r w:rsidRPr="00F40EAB">
        <w:rPr>
          <w:rFonts w:ascii="Arial" w:hAnsi="Arial" w:cs="Arial"/>
          <w:b/>
          <w:bCs/>
        </w:rPr>
        <w:lastRenderedPageBreak/>
        <w:t>Resultados</w:t>
      </w:r>
    </w:p>
    <w:p w14:paraId="29278170" w14:textId="77777777" w:rsidR="00073187" w:rsidRPr="00F40EAB" w:rsidRDefault="00F40EAB">
      <w:pPr>
        <w:spacing w:after="120"/>
        <w:jc w:val="both"/>
        <w:rPr>
          <w:rFonts w:ascii="Arial" w:hAnsi="Arial" w:cs="Arial"/>
        </w:rPr>
      </w:pPr>
      <w:r w:rsidRPr="00F40EAB">
        <w:rPr>
          <w:rFonts w:ascii="Arial" w:hAnsi="Arial" w:cs="Arial"/>
        </w:rPr>
        <w:t>Se exponen los resultados obtenidos en la investigación.</w:t>
      </w:r>
    </w:p>
    <w:p w14:paraId="6B9D7D5A" w14:textId="77777777" w:rsidR="00073187" w:rsidRPr="00F40EAB" w:rsidRDefault="00F40EAB">
      <w:pPr>
        <w:spacing w:after="120"/>
        <w:ind w:hanging="142"/>
        <w:jc w:val="both"/>
        <w:rPr>
          <w:rFonts w:ascii="Arial" w:hAnsi="Arial" w:cs="Arial"/>
          <w:b/>
          <w:bCs/>
        </w:rPr>
      </w:pPr>
      <w:r w:rsidRPr="00F40EAB">
        <w:rPr>
          <w:rFonts w:ascii="Arial" w:hAnsi="Arial" w:cs="Arial"/>
          <w:b/>
          <w:bCs/>
        </w:rPr>
        <w:t>Análisis cuantitativo de la percepción docente</w:t>
      </w:r>
    </w:p>
    <w:p w14:paraId="13DED378" w14:textId="77777777" w:rsidR="00073187" w:rsidRPr="00F40EAB" w:rsidRDefault="00F40EAB">
      <w:pPr>
        <w:spacing w:after="240" w:line="276" w:lineRule="auto"/>
        <w:ind w:firstLine="720"/>
        <w:jc w:val="both"/>
        <w:rPr>
          <w:rFonts w:ascii="Arial" w:hAnsi="Arial" w:cs="Arial"/>
          <w:b/>
          <w:bCs/>
          <w:sz w:val="22"/>
          <w:szCs w:val="22"/>
        </w:rPr>
      </w:pPr>
      <w:r w:rsidRPr="00F40EAB">
        <w:rPr>
          <w:rFonts w:ascii="Arial" w:hAnsi="Arial" w:cs="Arial"/>
        </w:rPr>
        <w:t>El análisis cuantitativo de la percepción docente respecto a la implementación de la NEM se evaluó mediante un cuestionario estructurado de 12 ítems (escala Likert de 1 a 5). Los estadísticos descriptivos, que incluyen la media (</w:t>
      </w:r>
      <m:oMath>
        <m:r>
          <w:rPr>
            <w:rFonts w:ascii="Cambria Math" w:hAnsi="Cambria Math" w:cs="Arial"/>
          </w:rPr>
          <m:t>M</m:t>
        </m:r>
      </m:oMath>
      <w:r w:rsidRPr="00F40EAB">
        <w:rPr>
          <w:rFonts w:ascii="Arial" w:hAnsi="Arial" w:cs="Arial"/>
        </w:rPr>
        <w:t>) y la desviación estándar (</w:t>
      </w:r>
      <m:oMath>
        <m:r>
          <w:rPr>
            <w:rFonts w:ascii="Cambria Math" w:hAnsi="Cambria Math" w:cs="Arial"/>
          </w:rPr>
          <m:t>DE</m:t>
        </m:r>
      </m:oMath>
      <w:r w:rsidRPr="00F40EAB">
        <w:rPr>
          <w:rFonts w:ascii="Arial" w:hAnsi="Arial" w:cs="Arial"/>
        </w:rPr>
        <w:t>) para medir el grado de dispersión o consenso en las respuestas (</w:t>
      </w:r>
      <m:oMath>
        <m:r>
          <w:rPr>
            <w:rFonts w:ascii="Cambria Math" w:hAnsi="Cambria Math" w:cs="Arial"/>
          </w:rPr>
          <m:t>n=5</m:t>
        </m:r>
      </m:oMath>
      <w:r w:rsidRPr="00F40EAB">
        <w:rPr>
          <w:rFonts w:ascii="Arial" w:hAnsi="Arial" w:cs="Arial"/>
        </w:rPr>
        <w:t xml:space="preserve">), se detallan en la Tabla 1. Los ítems fueron agrupados </w:t>
      </w:r>
      <w:r w:rsidRPr="00F40EAB">
        <w:rPr>
          <w:rFonts w:ascii="Arial" w:hAnsi="Arial" w:cs="Arial"/>
          <w:i/>
          <w:iCs/>
        </w:rPr>
        <w:t>a posteriori</w:t>
      </w:r>
      <w:r w:rsidRPr="00F40EAB">
        <w:rPr>
          <w:rFonts w:ascii="Arial" w:hAnsi="Arial" w:cs="Arial"/>
        </w:rPr>
        <w:t xml:space="preserve"> en cuatro dimensiones analíticas fundamentadas en el marco teórico de la investigación.</w:t>
      </w:r>
    </w:p>
    <w:p w14:paraId="66635A1D" w14:textId="77777777" w:rsidR="00073187" w:rsidRPr="00F40EAB" w:rsidRDefault="00F40EAB">
      <w:pPr>
        <w:spacing w:after="120"/>
        <w:jc w:val="both"/>
        <w:rPr>
          <w:rFonts w:ascii="Arial" w:hAnsi="Arial" w:cs="Arial"/>
          <w:b/>
          <w:bCs/>
          <w:sz w:val="22"/>
          <w:szCs w:val="22"/>
        </w:rPr>
      </w:pPr>
      <w:r w:rsidRPr="00F40EAB">
        <w:rPr>
          <w:rFonts w:ascii="Arial" w:hAnsi="Arial" w:cs="Arial"/>
          <w:b/>
          <w:bCs/>
          <w:sz w:val="22"/>
          <w:szCs w:val="22"/>
        </w:rPr>
        <w:t>Tabla 1. Estadísticos descriptivos de la percepción docente sobre la implementación de la NEM</w:t>
      </w:r>
    </w:p>
    <w:tbl>
      <w:tblPr>
        <w:tblStyle w:val="a1"/>
        <w:tblW w:w="6960"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4020"/>
        <w:gridCol w:w="1440"/>
        <w:gridCol w:w="1500"/>
      </w:tblGrid>
      <w:tr w:rsidR="00F40EAB" w:rsidRPr="00F40EAB" w14:paraId="103C3F52" w14:textId="77777777">
        <w:trPr>
          <w:jc w:val="center"/>
        </w:trPr>
        <w:tc>
          <w:tcPr>
            <w:tcW w:w="4020" w:type="dxa"/>
            <w:tcBorders>
              <w:top w:val="single" w:sz="4" w:space="0" w:color="000000"/>
              <w:left w:val="nil"/>
              <w:bottom w:val="single" w:sz="4" w:space="0" w:color="000000"/>
              <w:right w:val="nil"/>
            </w:tcBorders>
            <w:vAlign w:val="center"/>
          </w:tcPr>
          <w:p w14:paraId="0C84FB3B" w14:textId="77777777" w:rsidR="00073187" w:rsidRPr="00F40EAB" w:rsidRDefault="00F40EAB">
            <w:pPr>
              <w:spacing w:after="120"/>
              <w:jc w:val="center"/>
              <w:rPr>
                <w:rFonts w:ascii="Arial" w:hAnsi="Arial" w:cs="Arial"/>
              </w:rPr>
            </w:pPr>
            <w:r w:rsidRPr="00F40EAB">
              <w:rPr>
                <w:rFonts w:ascii="Arial" w:hAnsi="Arial" w:cs="Arial"/>
              </w:rPr>
              <w:t>Dimensión / Ítem evaluado</w:t>
            </w:r>
          </w:p>
        </w:tc>
        <w:tc>
          <w:tcPr>
            <w:tcW w:w="1440" w:type="dxa"/>
            <w:tcBorders>
              <w:top w:val="single" w:sz="4" w:space="0" w:color="000000"/>
              <w:left w:val="nil"/>
              <w:bottom w:val="single" w:sz="4" w:space="0" w:color="000000"/>
              <w:right w:val="nil"/>
            </w:tcBorders>
            <w:vAlign w:val="center"/>
          </w:tcPr>
          <w:p w14:paraId="64A6C11A" w14:textId="77777777" w:rsidR="00073187" w:rsidRPr="00F40EAB" w:rsidRDefault="00F40EAB">
            <w:pPr>
              <w:spacing w:after="240" w:line="276" w:lineRule="auto"/>
              <w:ind w:firstLine="720"/>
              <w:jc w:val="both"/>
              <w:rPr>
                <w:rFonts w:ascii="Arial" w:hAnsi="Arial" w:cs="Arial"/>
              </w:rPr>
            </w:pPr>
            <m:oMathPara>
              <m:oMath>
                <m:r>
                  <w:rPr>
                    <w:rFonts w:ascii="Cambria Math" w:eastAsia="Arial" w:hAnsi="Cambria Math" w:cs="Arial"/>
                    <w:sz w:val="24"/>
                    <w:szCs w:val="24"/>
                  </w:rPr>
                  <m:t>M</m:t>
                </m:r>
              </m:oMath>
            </m:oMathPara>
          </w:p>
        </w:tc>
        <w:tc>
          <w:tcPr>
            <w:tcW w:w="1500" w:type="dxa"/>
            <w:tcBorders>
              <w:top w:val="single" w:sz="4" w:space="0" w:color="000000"/>
              <w:left w:val="nil"/>
              <w:bottom w:val="single" w:sz="4" w:space="0" w:color="000000"/>
              <w:right w:val="nil"/>
            </w:tcBorders>
            <w:vAlign w:val="center"/>
          </w:tcPr>
          <w:p w14:paraId="6C4AE4E6" w14:textId="77777777" w:rsidR="00073187" w:rsidRPr="00F40EAB" w:rsidRDefault="00F40EAB">
            <w:pPr>
              <w:spacing w:after="240" w:line="276" w:lineRule="auto"/>
              <w:ind w:firstLine="720"/>
              <w:jc w:val="center"/>
              <w:rPr>
                <w:rFonts w:ascii="Arial" w:hAnsi="Arial" w:cs="Arial"/>
              </w:rPr>
            </w:pPr>
            <m:oMathPara>
              <m:oMath>
                <m:r>
                  <w:rPr>
                    <w:rFonts w:ascii="Cambria Math" w:eastAsia="Arial" w:hAnsi="Cambria Math" w:cs="Arial"/>
                    <w:sz w:val="24"/>
                    <w:szCs w:val="24"/>
                  </w:rPr>
                  <m:t>DE</m:t>
                </m:r>
              </m:oMath>
            </m:oMathPara>
          </w:p>
        </w:tc>
      </w:tr>
      <w:tr w:rsidR="00F40EAB" w:rsidRPr="00F40EAB" w14:paraId="67327836" w14:textId="77777777">
        <w:trPr>
          <w:trHeight w:val="200"/>
          <w:jc w:val="center"/>
        </w:trPr>
        <w:tc>
          <w:tcPr>
            <w:tcW w:w="6960" w:type="dxa"/>
            <w:gridSpan w:val="3"/>
            <w:tcBorders>
              <w:top w:val="single" w:sz="4" w:space="0" w:color="000000"/>
              <w:left w:val="nil"/>
              <w:bottom w:val="single" w:sz="4" w:space="0" w:color="000000"/>
              <w:right w:val="nil"/>
            </w:tcBorders>
            <w:vAlign w:val="center"/>
          </w:tcPr>
          <w:p w14:paraId="7255F8B0" w14:textId="77777777" w:rsidR="00073187" w:rsidRPr="00F40EAB" w:rsidRDefault="00F40EAB">
            <w:pPr>
              <w:spacing w:after="120"/>
              <w:jc w:val="center"/>
              <w:rPr>
                <w:rFonts w:ascii="Arial" w:hAnsi="Arial" w:cs="Arial"/>
              </w:rPr>
            </w:pPr>
            <w:r w:rsidRPr="00F40EAB">
              <w:rPr>
                <w:rFonts w:ascii="Arial" w:hAnsi="Arial" w:cs="Arial"/>
              </w:rPr>
              <w:t>Dimensión 1: Fundamentos pedagógicos de la NEM</w:t>
            </w:r>
          </w:p>
        </w:tc>
      </w:tr>
      <w:tr w:rsidR="00F40EAB" w:rsidRPr="00F40EAB" w14:paraId="2BFFB776" w14:textId="77777777">
        <w:trPr>
          <w:jc w:val="center"/>
        </w:trPr>
        <w:tc>
          <w:tcPr>
            <w:tcW w:w="4020" w:type="dxa"/>
            <w:tcBorders>
              <w:top w:val="single" w:sz="4" w:space="0" w:color="000000"/>
              <w:left w:val="nil"/>
              <w:bottom w:val="single" w:sz="4" w:space="0" w:color="000000"/>
              <w:right w:val="nil"/>
            </w:tcBorders>
            <w:vAlign w:val="center"/>
          </w:tcPr>
          <w:p w14:paraId="163AAEA0" w14:textId="77777777" w:rsidR="00073187" w:rsidRPr="00F40EAB" w:rsidRDefault="00F40EAB">
            <w:pPr>
              <w:spacing w:after="120"/>
              <w:rPr>
                <w:rFonts w:ascii="Arial" w:hAnsi="Arial" w:cs="Arial"/>
              </w:rPr>
            </w:pPr>
            <w:r w:rsidRPr="00F40EAB">
              <w:rPr>
                <w:rFonts w:ascii="Arial" w:hAnsi="Arial" w:cs="Arial"/>
              </w:rPr>
              <w:t>Comprensión de los objetivos establecidos por la NEM</w:t>
            </w:r>
          </w:p>
        </w:tc>
        <w:tc>
          <w:tcPr>
            <w:tcW w:w="1440" w:type="dxa"/>
            <w:tcBorders>
              <w:top w:val="single" w:sz="4" w:space="0" w:color="000000"/>
              <w:left w:val="nil"/>
              <w:bottom w:val="single" w:sz="4" w:space="0" w:color="000000"/>
              <w:right w:val="nil"/>
            </w:tcBorders>
            <w:vAlign w:val="center"/>
          </w:tcPr>
          <w:p w14:paraId="6449DF07" w14:textId="77777777" w:rsidR="00073187" w:rsidRPr="00F40EAB" w:rsidRDefault="00F40EAB">
            <w:pPr>
              <w:spacing w:after="120"/>
              <w:jc w:val="center"/>
              <w:rPr>
                <w:rFonts w:ascii="Arial" w:hAnsi="Arial" w:cs="Arial"/>
              </w:rPr>
            </w:pPr>
            <w:r w:rsidRPr="00F40EAB">
              <w:rPr>
                <w:rFonts w:ascii="Arial" w:hAnsi="Arial" w:cs="Arial"/>
              </w:rPr>
              <w:t>3.20</w:t>
            </w:r>
          </w:p>
        </w:tc>
        <w:tc>
          <w:tcPr>
            <w:tcW w:w="1500" w:type="dxa"/>
            <w:tcBorders>
              <w:top w:val="single" w:sz="4" w:space="0" w:color="000000"/>
              <w:left w:val="nil"/>
              <w:bottom w:val="single" w:sz="4" w:space="0" w:color="000000"/>
              <w:right w:val="nil"/>
            </w:tcBorders>
            <w:vAlign w:val="center"/>
          </w:tcPr>
          <w:p w14:paraId="00FE0483" w14:textId="77777777" w:rsidR="00073187" w:rsidRPr="00F40EAB" w:rsidRDefault="00F40EAB">
            <w:pPr>
              <w:spacing w:after="120"/>
              <w:jc w:val="center"/>
              <w:rPr>
                <w:rFonts w:ascii="Arial" w:hAnsi="Arial" w:cs="Arial"/>
              </w:rPr>
            </w:pPr>
            <w:r w:rsidRPr="00F40EAB">
              <w:rPr>
                <w:rFonts w:ascii="Arial" w:hAnsi="Arial" w:cs="Arial"/>
              </w:rPr>
              <w:t>0.84</w:t>
            </w:r>
          </w:p>
        </w:tc>
      </w:tr>
      <w:tr w:rsidR="00F40EAB" w:rsidRPr="00F40EAB" w14:paraId="4240171E" w14:textId="77777777">
        <w:trPr>
          <w:jc w:val="center"/>
        </w:trPr>
        <w:tc>
          <w:tcPr>
            <w:tcW w:w="4020" w:type="dxa"/>
            <w:tcBorders>
              <w:top w:val="single" w:sz="4" w:space="0" w:color="000000"/>
              <w:left w:val="nil"/>
              <w:bottom w:val="single" w:sz="4" w:space="0" w:color="000000"/>
              <w:right w:val="nil"/>
            </w:tcBorders>
            <w:vAlign w:val="center"/>
          </w:tcPr>
          <w:p w14:paraId="0C2DE13E" w14:textId="77777777" w:rsidR="00073187" w:rsidRPr="00F40EAB" w:rsidRDefault="00F40EAB">
            <w:pPr>
              <w:spacing w:after="120"/>
              <w:rPr>
                <w:rFonts w:ascii="Arial" w:hAnsi="Arial" w:cs="Arial"/>
              </w:rPr>
            </w:pPr>
            <w:r w:rsidRPr="00F40EAB">
              <w:rPr>
                <w:rFonts w:ascii="Arial" w:hAnsi="Arial" w:cs="Arial"/>
              </w:rPr>
              <w:t>Pertinencia de los cambios frente a las necesidades actuales</w:t>
            </w:r>
          </w:p>
        </w:tc>
        <w:tc>
          <w:tcPr>
            <w:tcW w:w="1440" w:type="dxa"/>
            <w:tcBorders>
              <w:top w:val="single" w:sz="4" w:space="0" w:color="000000"/>
              <w:left w:val="nil"/>
              <w:bottom w:val="single" w:sz="4" w:space="0" w:color="000000"/>
              <w:right w:val="nil"/>
            </w:tcBorders>
            <w:vAlign w:val="center"/>
          </w:tcPr>
          <w:p w14:paraId="5726CF6B" w14:textId="10AAC0D3" w:rsidR="00073187" w:rsidRPr="00F40EAB" w:rsidRDefault="00F40EAB">
            <w:pPr>
              <w:spacing w:after="120"/>
              <w:jc w:val="center"/>
              <w:rPr>
                <w:rFonts w:ascii="Arial" w:hAnsi="Arial" w:cs="Arial"/>
              </w:rPr>
            </w:pPr>
            <w:r w:rsidRPr="00F40EAB">
              <w:rPr>
                <w:rFonts w:ascii="Arial" w:hAnsi="Arial" w:cs="Arial"/>
              </w:rPr>
              <w:t>3.0</w:t>
            </w:r>
            <w:r w:rsidR="00B27CDA" w:rsidRPr="00F40EAB">
              <w:rPr>
                <w:rFonts w:ascii="Arial" w:hAnsi="Arial" w:cs="Arial"/>
              </w:rPr>
              <w:t>0</w:t>
            </w:r>
          </w:p>
        </w:tc>
        <w:tc>
          <w:tcPr>
            <w:tcW w:w="1500" w:type="dxa"/>
            <w:tcBorders>
              <w:top w:val="single" w:sz="4" w:space="0" w:color="000000"/>
              <w:left w:val="nil"/>
              <w:bottom w:val="single" w:sz="4" w:space="0" w:color="000000"/>
              <w:right w:val="nil"/>
            </w:tcBorders>
            <w:vAlign w:val="center"/>
          </w:tcPr>
          <w:p w14:paraId="06F00D6F" w14:textId="77777777" w:rsidR="00073187" w:rsidRPr="00F40EAB" w:rsidRDefault="00F40EAB">
            <w:pPr>
              <w:spacing w:after="120"/>
              <w:jc w:val="center"/>
              <w:rPr>
                <w:rFonts w:ascii="Arial" w:hAnsi="Arial" w:cs="Arial"/>
              </w:rPr>
            </w:pPr>
            <w:r w:rsidRPr="00F40EAB">
              <w:rPr>
                <w:rFonts w:ascii="Arial" w:hAnsi="Arial" w:cs="Arial"/>
              </w:rPr>
              <w:t>0.71</w:t>
            </w:r>
          </w:p>
        </w:tc>
      </w:tr>
      <w:tr w:rsidR="00F40EAB" w:rsidRPr="00F40EAB" w14:paraId="01886EB3" w14:textId="77777777">
        <w:trPr>
          <w:trHeight w:val="200"/>
          <w:jc w:val="center"/>
        </w:trPr>
        <w:tc>
          <w:tcPr>
            <w:tcW w:w="6960" w:type="dxa"/>
            <w:gridSpan w:val="3"/>
            <w:tcBorders>
              <w:top w:val="single" w:sz="4" w:space="0" w:color="000000"/>
              <w:left w:val="nil"/>
              <w:bottom w:val="single" w:sz="4" w:space="0" w:color="000000"/>
              <w:right w:val="nil"/>
            </w:tcBorders>
            <w:vAlign w:val="center"/>
          </w:tcPr>
          <w:p w14:paraId="2FC3B1CA" w14:textId="77777777" w:rsidR="00073187" w:rsidRPr="00F40EAB" w:rsidRDefault="00F40EAB">
            <w:pPr>
              <w:spacing w:after="120"/>
              <w:jc w:val="center"/>
              <w:rPr>
                <w:rFonts w:ascii="Arial" w:hAnsi="Arial" w:cs="Arial"/>
              </w:rPr>
            </w:pPr>
            <w:r w:rsidRPr="00F40EAB">
              <w:rPr>
                <w:rFonts w:ascii="Arial" w:hAnsi="Arial" w:cs="Arial"/>
              </w:rPr>
              <w:t>Dimensión 2: Metodologías activas en la educación básica</w:t>
            </w:r>
          </w:p>
        </w:tc>
      </w:tr>
      <w:tr w:rsidR="00F40EAB" w:rsidRPr="00F40EAB" w14:paraId="1C5327A0" w14:textId="77777777">
        <w:trPr>
          <w:jc w:val="center"/>
        </w:trPr>
        <w:tc>
          <w:tcPr>
            <w:tcW w:w="4020" w:type="dxa"/>
            <w:tcBorders>
              <w:top w:val="single" w:sz="4" w:space="0" w:color="000000"/>
              <w:left w:val="nil"/>
              <w:bottom w:val="single" w:sz="4" w:space="0" w:color="000000"/>
              <w:right w:val="nil"/>
            </w:tcBorders>
            <w:vAlign w:val="center"/>
          </w:tcPr>
          <w:p w14:paraId="6A0B741C" w14:textId="77777777" w:rsidR="00073187" w:rsidRPr="00F40EAB" w:rsidRDefault="00F40EAB">
            <w:pPr>
              <w:spacing w:after="120"/>
              <w:jc w:val="both"/>
              <w:rPr>
                <w:rFonts w:ascii="Arial" w:hAnsi="Arial" w:cs="Arial"/>
              </w:rPr>
            </w:pPr>
            <w:r w:rsidRPr="00F40EAB">
              <w:rPr>
                <w:rFonts w:ascii="Arial" w:hAnsi="Arial" w:cs="Arial"/>
              </w:rPr>
              <w:t>Precisión de los enfoques de evaluación formativa impulsados</w:t>
            </w:r>
          </w:p>
        </w:tc>
        <w:tc>
          <w:tcPr>
            <w:tcW w:w="1440" w:type="dxa"/>
            <w:tcBorders>
              <w:top w:val="single" w:sz="4" w:space="0" w:color="000000"/>
              <w:left w:val="nil"/>
              <w:bottom w:val="single" w:sz="4" w:space="0" w:color="000000"/>
              <w:right w:val="nil"/>
            </w:tcBorders>
            <w:vAlign w:val="center"/>
          </w:tcPr>
          <w:p w14:paraId="54724105" w14:textId="77777777" w:rsidR="00073187" w:rsidRPr="00F40EAB" w:rsidRDefault="00F40EAB">
            <w:pPr>
              <w:spacing w:after="120"/>
              <w:jc w:val="center"/>
              <w:rPr>
                <w:rFonts w:ascii="Arial" w:hAnsi="Arial" w:cs="Arial"/>
              </w:rPr>
            </w:pPr>
            <w:r w:rsidRPr="00F40EAB">
              <w:rPr>
                <w:rFonts w:ascii="Arial" w:hAnsi="Arial" w:cs="Arial"/>
              </w:rPr>
              <w:t>3.40</w:t>
            </w:r>
          </w:p>
        </w:tc>
        <w:tc>
          <w:tcPr>
            <w:tcW w:w="1500" w:type="dxa"/>
            <w:tcBorders>
              <w:top w:val="single" w:sz="4" w:space="0" w:color="000000"/>
              <w:left w:val="nil"/>
              <w:bottom w:val="single" w:sz="4" w:space="0" w:color="000000"/>
              <w:right w:val="nil"/>
            </w:tcBorders>
            <w:vAlign w:val="center"/>
          </w:tcPr>
          <w:p w14:paraId="3E3542DF" w14:textId="77777777" w:rsidR="00073187" w:rsidRPr="00F40EAB" w:rsidRDefault="00F40EAB">
            <w:pPr>
              <w:spacing w:after="120"/>
              <w:jc w:val="center"/>
              <w:rPr>
                <w:rFonts w:ascii="Arial" w:hAnsi="Arial" w:cs="Arial"/>
              </w:rPr>
            </w:pPr>
            <w:r w:rsidRPr="00F40EAB">
              <w:rPr>
                <w:rFonts w:ascii="Arial" w:hAnsi="Arial" w:cs="Arial"/>
              </w:rPr>
              <w:t>0.55</w:t>
            </w:r>
          </w:p>
        </w:tc>
      </w:tr>
      <w:tr w:rsidR="00F40EAB" w:rsidRPr="00F40EAB" w14:paraId="700F8848" w14:textId="77777777">
        <w:trPr>
          <w:jc w:val="center"/>
        </w:trPr>
        <w:tc>
          <w:tcPr>
            <w:tcW w:w="4020" w:type="dxa"/>
            <w:tcBorders>
              <w:top w:val="single" w:sz="4" w:space="0" w:color="000000"/>
              <w:left w:val="nil"/>
              <w:bottom w:val="single" w:sz="4" w:space="0" w:color="000000"/>
              <w:right w:val="nil"/>
            </w:tcBorders>
            <w:vAlign w:val="center"/>
          </w:tcPr>
          <w:p w14:paraId="3D23EAF5" w14:textId="77777777" w:rsidR="00073187" w:rsidRPr="00F40EAB" w:rsidRDefault="00F40EAB">
            <w:pPr>
              <w:spacing w:after="120"/>
              <w:jc w:val="both"/>
              <w:rPr>
                <w:rFonts w:ascii="Arial" w:hAnsi="Arial" w:cs="Arial"/>
              </w:rPr>
            </w:pPr>
            <w:r w:rsidRPr="00F40EAB">
              <w:rPr>
                <w:rFonts w:ascii="Arial" w:hAnsi="Arial" w:cs="Arial"/>
              </w:rPr>
              <w:t>Efectividad de las metodologías activas (ABP, STEAM, etc.)</w:t>
            </w:r>
          </w:p>
        </w:tc>
        <w:tc>
          <w:tcPr>
            <w:tcW w:w="1440" w:type="dxa"/>
            <w:tcBorders>
              <w:top w:val="single" w:sz="4" w:space="0" w:color="000000"/>
              <w:left w:val="nil"/>
              <w:bottom w:val="single" w:sz="4" w:space="0" w:color="000000"/>
              <w:right w:val="nil"/>
            </w:tcBorders>
            <w:vAlign w:val="center"/>
          </w:tcPr>
          <w:p w14:paraId="25F99DEF" w14:textId="77777777" w:rsidR="00073187" w:rsidRPr="00F40EAB" w:rsidRDefault="00F40EAB">
            <w:pPr>
              <w:spacing w:after="120"/>
              <w:jc w:val="center"/>
              <w:rPr>
                <w:rFonts w:ascii="Arial" w:hAnsi="Arial" w:cs="Arial"/>
              </w:rPr>
            </w:pPr>
            <w:r w:rsidRPr="00F40EAB">
              <w:rPr>
                <w:rFonts w:ascii="Arial" w:hAnsi="Arial" w:cs="Arial"/>
              </w:rPr>
              <w:t>3.20</w:t>
            </w:r>
          </w:p>
        </w:tc>
        <w:tc>
          <w:tcPr>
            <w:tcW w:w="1500" w:type="dxa"/>
            <w:tcBorders>
              <w:top w:val="single" w:sz="4" w:space="0" w:color="000000"/>
              <w:left w:val="nil"/>
              <w:bottom w:val="single" w:sz="4" w:space="0" w:color="000000"/>
              <w:right w:val="nil"/>
            </w:tcBorders>
            <w:vAlign w:val="center"/>
          </w:tcPr>
          <w:p w14:paraId="742CA6FF" w14:textId="77777777" w:rsidR="00073187" w:rsidRPr="00F40EAB" w:rsidRDefault="00F40EAB">
            <w:pPr>
              <w:spacing w:after="120"/>
              <w:jc w:val="center"/>
              <w:rPr>
                <w:rFonts w:ascii="Arial" w:hAnsi="Arial" w:cs="Arial"/>
              </w:rPr>
            </w:pPr>
            <w:r w:rsidRPr="00F40EAB">
              <w:rPr>
                <w:rFonts w:ascii="Arial" w:hAnsi="Arial" w:cs="Arial"/>
              </w:rPr>
              <w:t>0.45</w:t>
            </w:r>
          </w:p>
        </w:tc>
      </w:tr>
      <w:tr w:rsidR="00F40EAB" w:rsidRPr="00F40EAB" w14:paraId="2C4BB04B" w14:textId="77777777">
        <w:trPr>
          <w:jc w:val="center"/>
        </w:trPr>
        <w:tc>
          <w:tcPr>
            <w:tcW w:w="4020" w:type="dxa"/>
            <w:tcBorders>
              <w:top w:val="single" w:sz="4" w:space="0" w:color="000000"/>
              <w:left w:val="nil"/>
              <w:bottom w:val="single" w:sz="4" w:space="0" w:color="000000"/>
              <w:right w:val="nil"/>
            </w:tcBorders>
            <w:vAlign w:val="center"/>
          </w:tcPr>
          <w:p w14:paraId="1EEC37E8" w14:textId="77777777" w:rsidR="00073187" w:rsidRPr="00F40EAB" w:rsidRDefault="00F40EAB">
            <w:pPr>
              <w:spacing w:after="120"/>
              <w:jc w:val="both"/>
              <w:rPr>
                <w:rFonts w:ascii="Arial" w:hAnsi="Arial" w:cs="Arial"/>
              </w:rPr>
            </w:pPr>
            <w:r w:rsidRPr="00F40EAB">
              <w:rPr>
                <w:rFonts w:ascii="Arial" w:hAnsi="Arial" w:cs="Arial"/>
              </w:rPr>
              <w:t>Mejora de las estrategias y métodos de enseñanza en el aula</w:t>
            </w:r>
          </w:p>
        </w:tc>
        <w:tc>
          <w:tcPr>
            <w:tcW w:w="1440" w:type="dxa"/>
            <w:tcBorders>
              <w:top w:val="single" w:sz="4" w:space="0" w:color="000000"/>
              <w:left w:val="nil"/>
              <w:bottom w:val="single" w:sz="4" w:space="0" w:color="000000"/>
              <w:right w:val="nil"/>
            </w:tcBorders>
            <w:vAlign w:val="center"/>
          </w:tcPr>
          <w:p w14:paraId="67297B99" w14:textId="77777777" w:rsidR="00073187" w:rsidRPr="00F40EAB" w:rsidRDefault="00F40EAB">
            <w:pPr>
              <w:spacing w:after="120"/>
              <w:jc w:val="center"/>
              <w:rPr>
                <w:rFonts w:ascii="Arial" w:hAnsi="Arial" w:cs="Arial"/>
              </w:rPr>
            </w:pPr>
            <w:r w:rsidRPr="00F40EAB">
              <w:rPr>
                <w:rFonts w:ascii="Arial" w:hAnsi="Arial" w:cs="Arial"/>
              </w:rPr>
              <w:t>2.80</w:t>
            </w:r>
          </w:p>
        </w:tc>
        <w:tc>
          <w:tcPr>
            <w:tcW w:w="1500" w:type="dxa"/>
            <w:tcBorders>
              <w:top w:val="single" w:sz="4" w:space="0" w:color="000000"/>
              <w:left w:val="nil"/>
              <w:bottom w:val="single" w:sz="4" w:space="0" w:color="000000"/>
              <w:right w:val="nil"/>
            </w:tcBorders>
            <w:vAlign w:val="center"/>
          </w:tcPr>
          <w:p w14:paraId="3D777EE3" w14:textId="77777777" w:rsidR="00073187" w:rsidRPr="00F40EAB" w:rsidRDefault="00F40EAB">
            <w:pPr>
              <w:spacing w:after="120"/>
              <w:jc w:val="center"/>
              <w:rPr>
                <w:rFonts w:ascii="Arial" w:hAnsi="Arial" w:cs="Arial"/>
              </w:rPr>
            </w:pPr>
            <w:r w:rsidRPr="00F40EAB">
              <w:rPr>
                <w:rFonts w:ascii="Arial" w:hAnsi="Arial" w:cs="Arial"/>
              </w:rPr>
              <w:t>0.84</w:t>
            </w:r>
          </w:p>
        </w:tc>
      </w:tr>
      <w:tr w:rsidR="00F40EAB" w:rsidRPr="00F40EAB" w14:paraId="7DBA529E" w14:textId="77777777">
        <w:trPr>
          <w:trHeight w:val="200"/>
          <w:jc w:val="center"/>
        </w:trPr>
        <w:tc>
          <w:tcPr>
            <w:tcW w:w="6960" w:type="dxa"/>
            <w:gridSpan w:val="3"/>
            <w:tcBorders>
              <w:top w:val="single" w:sz="4" w:space="0" w:color="000000"/>
              <w:left w:val="nil"/>
              <w:bottom w:val="single" w:sz="4" w:space="0" w:color="000000"/>
              <w:right w:val="nil"/>
            </w:tcBorders>
            <w:vAlign w:val="center"/>
          </w:tcPr>
          <w:p w14:paraId="6EB70150" w14:textId="77777777" w:rsidR="00073187" w:rsidRPr="00F40EAB" w:rsidRDefault="00F40EAB">
            <w:pPr>
              <w:spacing w:after="120"/>
              <w:jc w:val="center"/>
              <w:rPr>
                <w:rFonts w:ascii="Arial" w:hAnsi="Arial" w:cs="Arial"/>
              </w:rPr>
            </w:pPr>
            <w:r w:rsidRPr="00F40EAB">
              <w:rPr>
                <w:rFonts w:ascii="Arial" w:hAnsi="Arial" w:cs="Arial"/>
              </w:rPr>
              <w:t>Dimensión 3: Relevancia del contexto sociocultural</w:t>
            </w:r>
          </w:p>
        </w:tc>
      </w:tr>
      <w:tr w:rsidR="00F40EAB" w:rsidRPr="00F40EAB" w14:paraId="57C9268A" w14:textId="77777777">
        <w:trPr>
          <w:jc w:val="center"/>
        </w:trPr>
        <w:tc>
          <w:tcPr>
            <w:tcW w:w="4020" w:type="dxa"/>
            <w:tcBorders>
              <w:top w:val="single" w:sz="4" w:space="0" w:color="000000"/>
              <w:left w:val="nil"/>
              <w:bottom w:val="single" w:sz="4" w:space="0" w:color="000000"/>
              <w:right w:val="nil"/>
            </w:tcBorders>
            <w:vAlign w:val="center"/>
          </w:tcPr>
          <w:p w14:paraId="700081A3" w14:textId="77777777" w:rsidR="00073187" w:rsidRPr="00F40EAB" w:rsidRDefault="00F40EAB">
            <w:pPr>
              <w:spacing w:after="120"/>
              <w:jc w:val="both"/>
              <w:rPr>
                <w:rFonts w:ascii="Arial" w:hAnsi="Arial" w:cs="Arial"/>
              </w:rPr>
            </w:pPr>
            <w:r w:rsidRPr="00F40EAB">
              <w:rPr>
                <w:rFonts w:ascii="Arial" w:hAnsi="Arial" w:cs="Arial"/>
              </w:rPr>
              <w:t>Fomento a un ambiente escolar inclusivo sin distinciones</w:t>
            </w:r>
          </w:p>
        </w:tc>
        <w:tc>
          <w:tcPr>
            <w:tcW w:w="1440" w:type="dxa"/>
            <w:tcBorders>
              <w:top w:val="single" w:sz="4" w:space="0" w:color="000000"/>
              <w:left w:val="nil"/>
              <w:bottom w:val="single" w:sz="4" w:space="0" w:color="000000"/>
              <w:right w:val="nil"/>
            </w:tcBorders>
            <w:vAlign w:val="center"/>
          </w:tcPr>
          <w:p w14:paraId="5E7A4F5C" w14:textId="77777777" w:rsidR="00073187" w:rsidRPr="00F40EAB" w:rsidRDefault="00F40EAB">
            <w:pPr>
              <w:spacing w:after="120"/>
              <w:jc w:val="center"/>
              <w:rPr>
                <w:rFonts w:ascii="Arial" w:hAnsi="Arial" w:cs="Arial"/>
              </w:rPr>
            </w:pPr>
            <w:r w:rsidRPr="00F40EAB">
              <w:rPr>
                <w:rFonts w:ascii="Arial" w:hAnsi="Arial" w:cs="Arial"/>
              </w:rPr>
              <w:t>3.20</w:t>
            </w:r>
          </w:p>
        </w:tc>
        <w:tc>
          <w:tcPr>
            <w:tcW w:w="1500" w:type="dxa"/>
            <w:tcBorders>
              <w:top w:val="single" w:sz="4" w:space="0" w:color="000000"/>
              <w:left w:val="nil"/>
              <w:bottom w:val="single" w:sz="4" w:space="0" w:color="000000"/>
              <w:right w:val="nil"/>
            </w:tcBorders>
            <w:vAlign w:val="center"/>
          </w:tcPr>
          <w:p w14:paraId="15437416" w14:textId="77777777" w:rsidR="00073187" w:rsidRPr="00F40EAB" w:rsidRDefault="00F40EAB">
            <w:pPr>
              <w:spacing w:after="120"/>
              <w:jc w:val="center"/>
              <w:rPr>
                <w:rFonts w:ascii="Arial" w:hAnsi="Arial" w:cs="Arial"/>
              </w:rPr>
            </w:pPr>
            <w:r w:rsidRPr="00F40EAB">
              <w:rPr>
                <w:rFonts w:ascii="Arial" w:hAnsi="Arial" w:cs="Arial"/>
              </w:rPr>
              <w:t>1.30</w:t>
            </w:r>
          </w:p>
        </w:tc>
      </w:tr>
      <w:tr w:rsidR="00F40EAB" w:rsidRPr="00F40EAB" w14:paraId="339209CC" w14:textId="77777777">
        <w:trPr>
          <w:jc w:val="center"/>
        </w:trPr>
        <w:tc>
          <w:tcPr>
            <w:tcW w:w="4020" w:type="dxa"/>
            <w:tcBorders>
              <w:top w:val="single" w:sz="4" w:space="0" w:color="000000"/>
              <w:left w:val="nil"/>
              <w:bottom w:val="single" w:sz="4" w:space="0" w:color="000000"/>
              <w:right w:val="nil"/>
            </w:tcBorders>
            <w:vAlign w:val="center"/>
          </w:tcPr>
          <w:p w14:paraId="5AD85EF6" w14:textId="77777777" w:rsidR="00073187" w:rsidRPr="00F40EAB" w:rsidRDefault="00F40EAB">
            <w:pPr>
              <w:spacing w:after="120"/>
              <w:jc w:val="both"/>
              <w:rPr>
                <w:rFonts w:ascii="Arial" w:hAnsi="Arial" w:cs="Arial"/>
              </w:rPr>
            </w:pPr>
            <w:r w:rsidRPr="00F40EAB">
              <w:rPr>
                <w:rFonts w:ascii="Arial" w:hAnsi="Arial" w:cs="Arial"/>
              </w:rPr>
              <w:t>Fomento a la participación activa de la comunidad escolar</w:t>
            </w:r>
          </w:p>
        </w:tc>
        <w:tc>
          <w:tcPr>
            <w:tcW w:w="1440" w:type="dxa"/>
            <w:tcBorders>
              <w:top w:val="single" w:sz="4" w:space="0" w:color="000000"/>
              <w:left w:val="nil"/>
              <w:bottom w:val="single" w:sz="4" w:space="0" w:color="000000"/>
              <w:right w:val="nil"/>
            </w:tcBorders>
            <w:vAlign w:val="center"/>
          </w:tcPr>
          <w:p w14:paraId="39BFF39C" w14:textId="77777777" w:rsidR="00073187" w:rsidRPr="00F40EAB" w:rsidRDefault="00F40EAB">
            <w:pPr>
              <w:spacing w:after="120"/>
              <w:jc w:val="center"/>
              <w:rPr>
                <w:rFonts w:ascii="Arial" w:hAnsi="Arial" w:cs="Arial"/>
              </w:rPr>
            </w:pPr>
            <w:r w:rsidRPr="00F40EAB">
              <w:rPr>
                <w:rFonts w:ascii="Arial" w:hAnsi="Arial" w:cs="Arial"/>
              </w:rPr>
              <w:t>2.80</w:t>
            </w:r>
          </w:p>
        </w:tc>
        <w:tc>
          <w:tcPr>
            <w:tcW w:w="1500" w:type="dxa"/>
            <w:tcBorders>
              <w:top w:val="single" w:sz="4" w:space="0" w:color="000000"/>
              <w:left w:val="nil"/>
              <w:bottom w:val="single" w:sz="4" w:space="0" w:color="000000"/>
              <w:right w:val="nil"/>
            </w:tcBorders>
            <w:vAlign w:val="center"/>
          </w:tcPr>
          <w:p w14:paraId="13F18543" w14:textId="77777777" w:rsidR="00073187" w:rsidRPr="00F40EAB" w:rsidRDefault="00F40EAB">
            <w:pPr>
              <w:spacing w:after="120"/>
              <w:jc w:val="center"/>
              <w:rPr>
                <w:rFonts w:ascii="Arial" w:hAnsi="Arial" w:cs="Arial"/>
              </w:rPr>
            </w:pPr>
            <w:r w:rsidRPr="00F40EAB">
              <w:rPr>
                <w:rFonts w:ascii="Arial" w:hAnsi="Arial" w:cs="Arial"/>
              </w:rPr>
              <w:t>1.48</w:t>
            </w:r>
          </w:p>
        </w:tc>
      </w:tr>
      <w:tr w:rsidR="00F40EAB" w:rsidRPr="00F40EAB" w14:paraId="6EF3C54B" w14:textId="77777777">
        <w:trPr>
          <w:trHeight w:val="200"/>
          <w:jc w:val="center"/>
        </w:trPr>
        <w:tc>
          <w:tcPr>
            <w:tcW w:w="6960" w:type="dxa"/>
            <w:gridSpan w:val="3"/>
            <w:tcBorders>
              <w:top w:val="single" w:sz="4" w:space="0" w:color="000000"/>
              <w:left w:val="nil"/>
              <w:bottom w:val="single" w:sz="4" w:space="0" w:color="000000"/>
              <w:right w:val="nil"/>
            </w:tcBorders>
            <w:vAlign w:val="center"/>
          </w:tcPr>
          <w:p w14:paraId="048EA244" w14:textId="77777777" w:rsidR="00073187" w:rsidRPr="00F40EAB" w:rsidRDefault="00F40EAB">
            <w:pPr>
              <w:spacing w:after="120"/>
              <w:jc w:val="center"/>
              <w:rPr>
                <w:rFonts w:ascii="Arial" w:hAnsi="Arial" w:cs="Arial"/>
              </w:rPr>
            </w:pPr>
            <w:r w:rsidRPr="00F40EAB">
              <w:rPr>
                <w:rFonts w:ascii="Arial" w:hAnsi="Arial" w:cs="Arial"/>
              </w:rPr>
              <w:t>Dimensión 4: El rol docente y los retos de implementación</w:t>
            </w:r>
          </w:p>
        </w:tc>
      </w:tr>
      <w:tr w:rsidR="00F40EAB" w:rsidRPr="00F40EAB" w14:paraId="578D6A32" w14:textId="77777777">
        <w:trPr>
          <w:jc w:val="center"/>
        </w:trPr>
        <w:tc>
          <w:tcPr>
            <w:tcW w:w="4020" w:type="dxa"/>
            <w:tcBorders>
              <w:top w:val="single" w:sz="4" w:space="0" w:color="000000"/>
              <w:left w:val="nil"/>
              <w:bottom w:val="single" w:sz="4" w:space="0" w:color="000000"/>
              <w:right w:val="nil"/>
            </w:tcBorders>
            <w:vAlign w:val="center"/>
          </w:tcPr>
          <w:p w14:paraId="18E4D019" w14:textId="77777777" w:rsidR="00073187" w:rsidRPr="00F40EAB" w:rsidRDefault="00F40EAB">
            <w:pPr>
              <w:spacing w:after="120"/>
              <w:jc w:val="both"/>
              <w:rPr>
                <w:rFonts w:ascii="Arial" w:hAnsi="Arial" w:cs="Arial"/>
              </w:rPr>
            </w:pPr>
            <w:r w:rsidRPr="00F40EAB">
              <w:rPr>
                <w:rFonts w:ascii="Arial" w:hAnsi="Arial" w:cs="Arial"/>
              </w:rPr>
              <w:t>Adaptación de prácticas docentes en respuesta a la NEM</w:t>
            </w:r>
          </w:p>
        </w:tc>
        <w:tc>
          <w:tcPr>
            <w:tcW w:w="1440" w:type="dxa"/>
            <w:tcBorders>
              <w:top w:val="single" w:sz="4" w:space="0" w:color="000000"/>
              <w:left w:val="nil"/>
              <w:bottom w:val="single" w:sz="4" w:space="0" w:color="000000"/>
              <w:right w:val="nil"/>
            </w:tcBorders>
            <w:vAlign w:val="center"/>
          </w:tcPr>
          <w:p w14:paraId="1D1020AE" w14:textId="77777777" w:rsidR="00073187" w:rsidRPr="00F40EAB" w:rsidRDefault="00F40EAB">
            <w:pPr>
              <w:spacing w:after="120"/>
              <w:jc w:val="center"/>
              <w:rPr>
                <w:rFonts w:ascii="Arial" w:hAnsi="Arial" w:cs="Arial"/>
              </w:rPr>
            </w:pPr>
            <w:r w:rsidRPr="00F40EAB">
              <w:rPr>
                <w:rFonts w:ascii="Arial" w:hAnsi="Arial" w:cs="Arial"/>
              </w:rPr>
              <w:t>4.00</w:t>
            </w:r>
          </w:p>
        </w:tc>
        <w:tc>
          <w:tcPr>
            <w:tcW w:w="1500" w:type="dxa"/>
            <w:tcBorders>
              <w:top w:val="single" w:sz="4" w:space="0" w:color="000000"/>
              <w:left w:val="nil"/>
              <w:bottom w:val="single" w:sz="4" w:space="0" w:color="000000"/>
              <w:right w:val="nil"/>
            </w:tcBorders>
            <w:vAlign w:val="center"/>
          </w:tcPr>
          <w:p w14:paraId="0EC285A3" w14:textId="77777777" w:rsidR="00073187" w:rsidRPr="00F40EAB" w:rsidRDefault="00F40EAB">
            <w:pPr>
              <w:spacing w:after="120"/>
              <w:jc w:val="center"/>
              <w:rPr>
                <w:rFonts w:ascii="Arial" w:hAnsi="Arial" w:cs="Arial"/>
              </w:rPr>
            </w:pPr>
            <w:r w:rsidRPr="00F40EAB">
              <w:rPr>
                <w:rFonts w:ascii="Arial" w:hAnsi="Arial" w:cs="Arial"/>
              </w:rPr>
              <w:t>0.71</w:t>
            </w:r>
          </w:p>
        </w:tc>
      </w:tr>
      <w:tr w:rsidR="00F40EAB" w:rsidRPr="00F40EAB" w14:paraId="1358364E" w14:textId="77777777">
        <w:trPr>
          <w:jc w:val="center"/>
        </w:trPr>
        <w:tc>
          <w:tcPr>
            <w:tcW w:w="4020" w:type="dxa"/>
            <w:tcBorders>
              <w:top w:val="single" w:sz="4" w:space="0" w:color="000000"/>
              <w:left w:val="nil"/>
              <w:bottom w:val="single" w:sz="4" w:space="0" w:color="000000"/>
              <w:right w:val="nil"/>
            </w:tcBorders>
            <w:vAlign w:val="center"/>
          </w:tcPr>
          <w:p w14:paraId="672FF1E7" w14:textId="77777777" w:rsidR="00073187" w:rsidRPr="00F40EAB" w:rsidRDefault="00F40EAB">
            <w:pPr>
              <w:spacing w:after="120"/>
              <w:jc w:val="both"/>
              <w:rPr>
                <w:rFonts w:ascii="Arial" w:hAnsi="Arial" w:cs="Arial"/>
              </w:rPr>
            </w:pPr>
            <w:r w:rsidRPr="00F40EAB">
              <w:rPr>
                <w:rFonts w:ascii="Arial" w:hAnsi="Arial" w:cs="Arial"/>
              </w:rPr>
              <w:t>Impacto de la actitud personal en el éxito de la aplicación</w:t>
            </w:r>
          </w:p>
        </w:tc>
        <w:tc>
          <w:tcPr>
            <w:tcW w:w="1440" w:type="dxa"/>
            <w:tcBorders>
              <w:top w:val="single" w:sz="4" w:space="0" w:color="000000"/>
              <w:left w:val="nil"/>
              <w:bottom w:val="single" w:sz="4" w:space="0" w:color="000000"/>
              <w:right w:val="nil"/>
            </w:tcBorders>
            <w:vAlign w:val="center"/>
          </w:tcPr>
          <w:p w14:paraId="356020C8" w14:textId="77777777" w:rsidR="00073187" w:rsidRPr="00F40EAB" w:rsidRDefault="00F40EAB">
            <w:pPr>
              <w:spacing w:after="120"/>
              <w:jc w:val="center"/>
              <w:rPr>
                <w:rFonts w:ascii="Arial" w:hAnsi="Arial" w:cs="Arial"/>
              </w:rPr>
            </w:pPr>
            <w:r w:rsidRPr="00F40EAB">
              <w:rPr>
                <w:rFonts w:ascii="Arial" w:hAnsi="Arial" w:cs="Arial"/>
              </w:rPr>
              <w:t>4.00</w:t>
            </w:r>
          </w:p>
        </w:tc>
        <w:tc>
          <w:tcPr>
            <w:tcW w:w="1500" w:type="dxa"/>
            <w:tcBorders>
              <w:top w:val="single" w:sz="4" w:space="0" w:color="000000"/>
              <w:left w:val="nil"/>
              <w:bottom w:val="single" w:sz="4" w:space="0" w:color="000000"/>
              <w:right w:val="nil"/>
            </w:tcBorders>
            <w:vAlign w:val="center"/>
          </w:tcPr>
          <w:p w14:paraId="43D667C8" w14:textId="77777777" w:rsidR="00073187" w:rsidRPr="00F40EAB" w:rsidRDefault="00F40EAB">
            <w:pPr>
              <w:spacing w:after="120"/>
              <w:jc w:val="center"/>
              <w:rPr>
                <w:rFonts w:ascii="Arial" w:hAnsi="Arial" w:cs="Arial"/>
              </w:rPr>
            </w:pPr>
            <w:r w:rsidRPr="00F40EAB">
              <w:rPr>
                <w:rFonts w:ascii="Arial" w:hAnsi="Arial" w:cs="Arial"/>
              </w:rPr>
              <w:t>0.71</w:t>
            </w:r>
          </w:p>
        </w:tc>
      </w:tr>
      <w:tr w:rsidR="00F40EAB" w:rsidRPr="00F40EAB" w14:paraId="472BD8F5" w14:textId="77777777">
        <w:trPr>
          <w:jc w:val="center"/>
        </w:trPr>
        <w:tc>
          <w:tcPr>
            <w:tcW w:w="4020" w:type="dxa"/>
            <w:tcBorders>
              <w:top w:val="single" w:sz="4" w:space="0" w:color="000000"/>
              <w:left w:val="nil"/>
              <w:bottom w:val="single" w:sz="4" w:space="0" w:color="000000"/>
              <w:right w:val="nil"/>
            </w:tcBorders>
            <w:vAlign w:val="center"/>
          </w:tcPr>
          <w:p w14:paraId="3A280F39" w14:textId="77777777" w:rsidR="00073187" w:rsidRPr="00F40EAB" w:rsidRDefault="00F40EAB">
            <w:pPr>
              <w:spacing w:after="120"/>
              <w:jc w:val="both"/>
              <w:rPr>
                <w:rFonts w:ascii="Arial" w:hAnsi="Arial" w:cs="Arial"/>
              </w:rPr>
            </w:pPr>
            <w:r w:rsidRPr="00F40EAB">
              <w:rPr>
                <w:rFonts w:ascii="Arial" w:hAnsi="Arial" w:cs="Arial"/>
              </w:rPr>
              <w:t>Experiencia profesional previa como ayuda para la adaptación</w:t>
            </w:r>
          </w:p>
        </w:tc>
        <w:tc>
          <w:tcPr>
            <w:tcW w:w="1440" w:type="dxa"/>
            <w:tcBorders>
              <w:top w:val="single" w:sz="4" w:space="0" w:color="000000"/>
              <w:left w:val="nil"/>
              <w:bottom w:val="single" w:sz="4" w:space="0" w:color="000000"/>
              <w:right w:val="nil"/>
            </w:tcBorders>
            <w:vAlign w:val="center"/>
          </w:tcPr>
          <w:p w14:paraId="2DDCE316" w14:textId="77777777" w:rsidR="00073187" w:rsidRPr="00F40EAB" w:rsidRDefault="00F40EAB">
            <w:pPr>
              <w:spacing w:after="120"/>
              <w:jc w:val="center"/>
              <w:rPr>
                <w:rFonts w:ascii="Arial" w:hAnsi="Arial" w:cs="Arial"/>
              </w:rPr>
            </w:pPr>
            <w:r w:rsidRPr="00F40EAB">
              <w:rPr>
                <w:rFonts w:ascii="Arial" w:hAnsi="Arial" w:cs="Arial"/>
              </w:rPr>
              <w:t>4.00</w:t>
            </w:r>
          </w:p>
        </w:tc>
        <w:tc>
          <w:tcPr>
            <w:tcW w:w="1500" w:type="dxa"/>
            <w:tcBorders>
              <w:top w:val="single" w:sz="4" w:space="0" w:color="000000"/>
              <w:left w:val="nil"/>
              <w:bottom w:val="single" w:sz="4" w:space="0" w:color="000000"/>
              <w:right w:val="nil"/>
            </w:tcBorders>
            <w:vAlign w:val="center"/>
          </w:tcPr>
          <w:p w14:paraId="0E00939E" w14:textId="77777777" w:rsidR="00073187" w:rsidRPr="00F40EAB" w:rsidRDefault="00F40EAB">
            <w:pPr>
              <w:spacing w:after="120"/>
              <w:jc w:val="center"/>
              <w:rPr>
                <w:rFonts w:ascii="Arial" w:hAnsi="Arial" w:cs="Arial"/>
              </w:rPr>
            </w:pPr>
            <w:r w:rsidRPr="00F40EAB">
              <w:rPr>
                <w:rFonts w:ascii="Arial" w:hAnsi="Arial" w:cs="Arial"/>
              </w:rPr>
              <w:t>0.00</w:t>
            </w:r>
          </w:p>
        </w:tc>
      </w:tr>
      <w:tr w:rsidR="00F40EAB" w:rsidRPr="00F40EAB" w14:paraId="2BC04C93" w14:textId="77777777">
        <w:trPr>
          <w:jc w:val="center"/>
        </w:trPr>
        <w:tc>
          <w:tcPr>
            <w:tcW w:w="4020" w:type="dxa"/>
            <w:tcBorders>
              <w:top w:val="single" w:sz="4" w:space="0" w:color="000000"/>
              <w:left w:val="nil"/>
              <w:bottom w:val="single" w:sz="4" w:space="0" w:color="000000"/>
              <w:right w:val="nil"/>
            </w:tcBorders>
            <w:vAlign w:val="center"/>
          </w:tcPr>
          <w:p w14:paraId="782F108F" w14:textId="77777777" w:rsidR="00073187" w:rsidRPr="00F40EAB" w:rsidRDefault="00F40EAB">
            <w:pPr>
              <w:spacing w:after="120"/>
              <w:jc w:val="both"/>
              <w:rPr>
                <w:rFonts w:ascii="Arial" w:hAnsi="Arial" w:cs="Arial"/>
              </w:rPr>
            </w:pPr>
            <w:r w:rsidRPr="00F40EAB">
              <w:rPr>
                <w:rFonts w:ascii="Arial" w:hAnsi="Arial" w:cs="Arial"/>
              </w:rPr>
              <w:lastRenderedPageBreak/>
              <w:t>Experiencia docente como base sólida para enfrentar desafíos</w:t>
            </w:r>
          </w:p>
        </w:tc>
        <w:tc>
          <w:tcPr>
            <w:tcW w:w="1440" w:type="dxa"/>
            <w:tcBorders>
              <w:top w:val="single" w:sz="4" w:space="0" w:color="000000"/>
              <w:left w:val="nil"/>
              <w:bottom w:val="single" w:sz="4" w:space="0" w:color="000000"/>
              <w:right w:val="nil"/>
            </w:tcBorders>
            <w:vAlign w:val="center"/>
          </w:tcPr>
          <w:p w14:paraId="409B2AD2" w14:textId="77777777" w:rsidR="00073187" w:rsidRPr="00F40EAB" w:rsidRDefault="00F40EAB">
            <w:pPr>
              <w:spacing w:after="120"/>
              <w:jc w:val="center"/>
              <w:rPr>
                <w:rFonts w:ascii="Arial" w:hAnsi="Arial" w:cs="Arial"/>
              </w:rPr>
            </w:pPr>
            <w:r w:rsidRPr="00F40EAB">
              <w:rPr>
                <w:rFonts w:ascii="Arial" w:hAnsi="Arial" w:cs="Arial"/>
              </w:rPr>
              <w:t>4.00</w:t>
            </w:r>
          </w:p>
        </w:tc>
        <w:tc>
          <w:tcPr>
            <w:tcW w:w="1500" w:type="dxa"/>
            <w:tcBorders>
              <w:top w:val="single" w:sz="4" w:space="0" w:color="000000"/>
              <w:left w:val="nil"/>
              <w:bottom w:val="single" w:sz="4" w:space="0" w:color="000000"/>
              <w:right w:val="nil"/>
            </w:tcBorders>
            <w:vAlign w:val="center"/>
          </w:tcPr>
          <w:p w14:paraId="1BC69149" w14:textId="77777777" w:rsidR="00073187" w:rsidRPr="00F40EAB" w:rsidRDefault="00F40EAB">
            <w:pPr>
              <w:spacing w:after="120"/>
              <w:jc w:val="center"/>
              <w:rPr>
                <w:rFonts w:ascii="Arial" w:hAnsi="Arial" w:cs="Arial"/>
              </w:rPr>
            </w:pPr>
            <w:r w:rsidRPr="00F40EAB">
              <w:rPr>
                <w:rFonts w:ascii="Arial" w:hAnsi="Arial" w:cs="Arial"/>
              </w:rPr>
              <w:t>0.00</w:t>
            </w:r>
          </w:p>
        </w:tc>
      </w:tr>
      <w:tr w:rsidR="00F40EAB" w:rsidRPr="00F40EAB" w14:paraId="393B651D" w14:textId="77777777">
        <w:trPr>
          <w:jc w:val="center"/>
        </w:trPr>
        <w:tc>
          <w:tcPr>
            <w:tcW w:w="4020" w:type="dxa"/>
            <w:tcBorders>
              <w:top w:val="single" w:sz="4" w:space="0" w:color="000000"/>
              <w:left w:val="nil"/>
              <w:bottom w:val="single" w:sz="4" w:space="0" w:color="000000"/>
              <w:right w:val="nil"/>
            </w:tcBorders>
            <w:vAlign w:val="center"/>
          </w:tcPr>
          <w:p w14:paraId="0B467FF1" w14:textId="77777777" w:rsidR="00073187" w:rsidRPr="00F40EAB" w:rsidRDefault="00F40EAB">
            <w:pPr>
              <w:spacing w:after="120"/>
              <w:jc w:val="both"/>
              <w:rPr>
                <w:rFonts w:ascii="Arial" w:hAnsi="Arial" w:cs="Arial"/>
              </w:rPr>
            </w:pPr>
            <w:r w:rsidRPr="00F40EAB">
              <w:rPr>
                <w:rFonts w:ascii="Arial" w:hAnsi="Arial" w:cs="Arial"/>
              </w:rPr>
              <w:t>Utilidad de capacitaciones y herramientas de las autoridades</w:t>
            </w:r>
          </w:p>
        </w:tc>
        <w:tc>
          <w:tcPr>
            <w:tcW w:w="1440" w:type="dxa"/>
            <w:tcBorders>
              <w:top w:val="single" w:sz="4" w:space="0" w:color="000000"/>
              <w:left w:val="nil"/>
              <w:bottom w:val="single" w:sz="4" w:space="0" w:color="000000"/>
              <w:right w:val="nil"/>
            </w:tcBorders>
            <w:vAlign w:val="center"/>
          </w:tcPr>
          <w:p w14:paraId="2AA7008B" w14:textId="77777777" w:rsidR="00073187" w:rsidRPr="00F40EAB" w:rsidRDefault="00F40EAB">
            <w:pPr>
              <w:spacing w:after="120"/>
              <w:jc w:val="center"/>
              <w:rPr>
                <w:rFonts w:ascii="Arial" w:hAnsi="Arial" w:cs="Arial"/>
              </w:rPr>
            </w:pPr>
            <w:r w:rsidRPr="00F40EAB">
              <w:rPr>
                <w:rFonts w:ascii="Arial" w:hAnsi="Arial" w:cs="Arial"/>
              </w:rPr>
              <w:t>2.40</w:t>
            </w:r>
          </w:p>
        </w:tc>
        <w:tc>
          <w:tcPr>
            <w:tcW w:w="1500" w:type="dxa"/>
            <w:tcBorders>
              <w:top w:val="single" w:sz="4" w:space="0" w:color="000000"/>
              <w:left w:val="nil"/>
              <w:bottom w:val="single" w:sz="4" w:space="0" w:color="000000"/>
              <w:right w:val="nil"/>
            </w:tcBorders>
            <w:vAlign w:val="center"/>
          </w:tcPr>
          <w:p w14:paraId="63CC8C9E" w14:textId="77777777" w:rsidR="00073187" w:rsidRPr="00F40EAB" w:rsidRDefault="00F40EAB">
            <w:pPr>
              <w:spacing w:after="120"/>
              <w:jc w:val="center"/>
              <w:rPr>
                <w:rFonts w:ascii="Arial" w:hAnsi="Arial" w:cs="Arial"/>
              </w:rPr>
            </w:pPr>
            <w:r w:rsidRPr="00F40EAB">
              <w:rPr>
                <w:rFonts w:ascii="Arial" w:hAnsi="Arial" w:cs="Arial"/>
              </w:rPr>
              <w:t>1.14</w:t>
            </w:r>
          </w:p>
        </w:tc>
      </w:tr>
    </w:tbl>
    <w:p w14:paraId="36A2C99A" w14:textId="77777777" w:rsidR="00073187" w:rsidRPr="00F40EAB" w:rsidRDefault="00F40EAB">
      <w:pPr>
        <w:spacing w:after="120"/>
        <w:jc w:val="center"/>
        <w:rPr>
          <w:rFonts w:ascii="Arial" w:hAnsi="Arial" w:cs="Arial"/>
          <w:sz w:val="20"/>
          <w:szCs w:val="20"/>
        </w:rPr>
      </w:pPr>
      <w:r w:rsidRPr="00F40EAB">
        <w:rPr>
          <w:rFonts w:ascii="Arial" w:hAnsi="Arial" w:cs="Arial"/>
          <w:sz w:val="20"/>
          <w:szCs w:val="20"/>
        </w:rPr>
        <w:t>Fuente: elaboración propia</w:t>
      </w:r>
    </w:p>
    <w:p w14:paraId="1E1CD80A" w14:textId="01DDC8CB" w:rsidR="00073187" w:rsidRPr="00F40EAB" w:rsidRDefault="00F40EAB">
      <w:pPr>
        <w:spacing w:before="240" w:after="240"/>
        <w:ind w:firstLine="720"/>
        <w:jc w:val="both"/>
        <w:rPr>
          <w:rFonts w:ascii="Arial" w:hAnsi="Arial" w:cs="Arial"/>
        </w:rPr>
      </w:pPr>
      <w:r w:rsidRPr="00F40EAB">
        <w:rPr>
          <w:rFonts w:ascii="Arial" w:hAnsi="Arial" w:cs="Arial"/>
        </w:rPr>
        <w:t xml:space="preserve">Como se observa en la Tabla 1, la </w:t>
      </w:r>
      <w:r w:rsidRPr="00F40EAB">
        <w:rPr>
          <w:rFonts w:ascii="Arial" w:hAnsi="Arial" w:cs="Arial"/>
          <w:b/>
          <w:bCs/>
        </w:rPr>
        <w:t>Dimensión 4 (El rol docente y los retos de implementación)</w:t>
      </w:r>
      <w:r w:rsidRPr="00F40EAB">
        <w:rPr>
          <w:rFonts w:ascii="Arial" w:hAnsi="Arial" w:cs="Arial"/>
        </w:rPr>
        <w:t xml:space="preserve"> presenta las polaridades más marcadas del estudio, confirmando las tensiones documentadas en la literatura empírica. Por un lado, el profesorado muestra un consenso </w:t>
      </w:r>
      <w:r w:rsidR="00B6428F" w:rsidRPr="00F40EAB">
        <w:rPr>
          <w:rFonts w:ascii="Arial" w:hAnsi="Arial" w:cs="Arial"/>
        </w:rPr>
        <w:t>unánime</w:t>
      </w:r>
      <w:r w:rsidRPr="00F40EAB">
        <w:rPr>
          <w:rFonts w:ascii="Arial" w:hAnsi="Arial" w:cs="Arial"/>
        </w:rPr>
        <w:t xml:space="preserve"> (</w:t>
      </w:r>
      <w:r w:rsidRPr="00F40EAB">
        <w:rPr>
          <w:rFonts w:ascii="Arial" w:hAnsi="Arial" w:cs="Arial"/>
          <w:i/>
          <w:iCs/>
        </w:rPr>
        <w:t>M</w:t>
      </w:r>
      <w:r w:rsidRPr="00F40EAB">
        <w:rPr>
          <w:rFonts w:ascii="Arial" w:hAnsi="Arial" w:cs="Arial"/>
        </w:rPr>
        <w:t xml:space="preserve"> = 4.00, </w:t>
      </w:r>
      <w:r w:rsidRPr="00F40EAB">
        <w:rPr>
          <w:rFonts w:ascii="Arial" w:hAnsi="Arial" w:cs="Arial"/>
          <w:i/>
          <w:iCs/>
        </w:rPr>
        <w:t>DE</w:t>
      </w:r>
      <w:r w:rsidRPr="00F40EAB">
        <w:rPr>
          <w:rFonts w:ascii="Arial" w:hAnsi="Arial" w:cs="Arial"/>
        </w:rPr>
        <w:t xml:space="preserve"> = 0.00) respecto a que es su propia experiencia y actitud lo que sostiene el cambio de paradigma. Sin embargo, el ítem sobre las capacitaciones institucionales obtuvo la calificación más baja de todo el instrumento (</w:t>
      </w:r>
      <w:r w:rsidRPr="00F40EAB">
        <w:rPr>
          <w:rFonts w:ascii="Arial" w:hAnsi="Arial" w:cs="Arial"/>
          <w:i/>
          <w:iCs/>
        </w:rPr>
        <w:t>M</w:t>
      </w:r>
      <w:r w:rsidRPr="00F40EAB">
        <w:rPr>
          <w:rFonts w:ascii="Arial" w:hAnsi="Arial" w:cs="Arial"/>
        </w:rPr>
        <w:t xml:space="preserve"> = 2.40). Esto corrobora que la transformación hacia un rol de "mediador pedagógico" enfrenta importantes barreras estructurales, evidenciando que los modelos formativos en cascada resultan insuficientes y generan incertidumbre en el magisterio.</w:t>
      </w:r>
    </w:p>
    <w:p w14:paraId="5398A8DC" w14:textId="77777777" w:rsidR="00073187" w:rsidRPr="00F40EAB" w:rsidRDefault="00F40EAB">
      <w:pPr>
        <w:spacing w:before="240" w:after="240"/>
        <w:ind w:firstLine="720"/>
        <w:jc w:val="both"/>
        <w:rPr>
          <w:rFonts w:ascii="Arial" w:hAnsi="Arial" w:cs="Arial"/>
        </w:rPr>
      </w:pPr>
      <w:r w:rsidRPr="00F40EAB">
        <w:rPr>
          <w:rFonts w:ascii="Arial" w:hAnsi="Arial" w:cs="Arial"/>
        </w:rPr>
        <w:t xml:space="preserve">En cuanto a la </w:t>
      </w:r>
      <w:r w:rsidRPr="00F40EAB">
        <w:rPr>
          <w:rFonts w:ascii="Arial" w:hAnsi="Arial" w:cs="Arial"/>
          <w:b/>
          <w:bCs/>
        </w:rPr>
        <w:t>Dimensión 2 (Metodologías activas en la educación básica)</w:t>
      </w:r>
      <w:r w:rsidRPr="00F40EAB">
        <w:rPr>
          <w:rFonts w:ascii="Arial" w:hAnsi="Arial" w:cs="Arial"/>
        </w:rPr>
        <w:t>, los datos muestran una aceptación moderada. Los docentes reconocen cierta utilidad teórica en la evaluación formativa (</w:t>
      </w:r>
      <w:r w:rsidRPr="00F40EAB">
        <w:rPr>
          <w:rFonts w:ascii="Arial" w:hAnsi="Arial" w:cs="Arial"/>
          <w:i/>
          <w:iCs/>
        </w:rPr>
        <w:t>M</w:t>
      </w:r>
      <w:r w:rsidRPr="00F40EAB">
        <w:rPr>
          <w:rFonts w:ascii="Arial" w:hAnsi="Arial" w:cs="Arial"/>
        </w:rPr>
        <w:t xml:space="preserve"> = 3.40) y en enfoques socioconstructivistas como el ABP y STEAM (</w:t>
      </w:r>
      <w:r w:rsidRPr="00F40EAB">
        <w:rPr>
          <w:rFonts w:ascii="Arial" w:hAnsi="Arial" w:cs="Arial"/>
          <w:i/>
          <w:iCs/>
        </w:rPr>
        <w:t>M</w:t>
      </w:r>
      <w:r w:rsidRPr="00F40EAB">
        <w:rPr>
          <w:rFonts w:ascii="Arial" w:hAnsi="Arial" w:cs="Arial"/>
        </w:rPr>
        <w:t xml:space="preserve"> = 3.20). No obstante, al evaluar si estas prescripciones han mejorado efectivamente sus métodos diarios en el aula, la percepción decae (</w:t>
      </w:r>
      <w:r w:rsidRPr="00F40EAB">
        <w:rPr>
          <w:rFonts w:ascii="Arial" w:hAnsi="Arial" w:cs="Arial"/>
          <w:i/>
          <w:iCs/>
        </w:rPr>
        <w:t>M</w:t>
      </w:r>
      <w:r w:rsidRPr="00F40EAB">
        <w:rPr>
          <w:rFonts w:ascii="Arial" w:hAnsi="Arial" w:cs="Arial"/>
        </w:rPr>
        <w:t xml:space="preserve"> = 2.80). Esto refleja una brecha significativa entre el diseño del modelo epistemológico y la transposición didáctica en la realidad escolar.</w:t>
      </w:r>
    </w:p>
    <w:p w14:paraId="2292E6BA" w14:textId="77777777" w:rsidR="00073187" w:rsidRPr="00F40EAB" w:rsidRDefault="00F40EAB">
      <w:pPr>
        <w:spacing w:before="240" w:after="240"/>
        <w:ind w:firstLine="720"/>
        <w:jc w:val="both"/>
        <w:rPr>
          <w:rFonts w:ascii="Arial" w:hAnsi="Arial" w:cs="Arial"/>
        </w:rPr>
      </w:pPr>
      <w:r w:rsidRPr="00F40EAB">
        <w:rPr>
          <w:rFonts w:ascii="Arial" w:hAnsi="Arial" w:cs="Arial"/>
        </w:rPr>
        <w:t xml:space="preserve">La </w:t>
      </w:r>
      <w:r w:rsidRPr="00F40EAB">
        <w:rPr>
          <w:rFonts w:ascii="Arial" w:hAnsi="Arial" w:cs="Arial"/>
          <w:b/>
          <w:bCs/>
        </w:rPr>
        <w:t>Dimensión 3 (Relevancia del contexto sociocultural)</w:t>
      </w:r>
      <w:r w:rsidRPr="00F40EAB">
        <w:rPr>
          <w:rFonts w:ascii="Arial" w:hAnsi="Arial" w:cs="Arial"/>
        </w:rPr>
        <w:t xml:space="preserve"> muestra un área crítica. La pedagogía freireana, pilar de la NEM, exige que la comunidad participe activamente en lo educativo. Pero la percepción docente sobre esta participación real es baja (</w:t>
      </w:r>
      <w:r w:rsidRPr="00F40EAB">
        <w:rPr>
          <w:rFonts w:ascii="Arial" w:hAnsi="Arial" w:cs="Arial"/>
          <w:i/>
          <w:iCs/>
        </w:rPr>
        <w:t>M</w:t>
      </w:r>
      <w:r w:rsidRPr="00F40EAB">
        <w:rPr>
          <w:rFonts w:ascii="Arial" w:hAnsi="Arial" w:cs="Arial"/>
        </w:rPr>
        <w:t xml:space="preserve"> = 2.80) y altamente polarizada (</w:t>
      </w:r>
      <w:r w:rsidRPr="00F40EAB">
        <w:rPr>
          <w:rFonts w:ascii="Arial" w:hAnsi="Arial" w:cs="Arial"/>
          <w:i/>
          <w:iCs/>
        </w:rPr>
        <w:t>DE</w:t>
      </w:r>
      <w:r w:rsidRPr="00F40EAB">
        <w:rPr>
          <w:rFonts w:ascii="Arial" w:hAnsi="Arial" w:cs="Arial"/>
        </w:rPr>
        <w:t xml:space="preserve"> = 1.48). Este hallazgo sugiere que, en el contexto de esta escuela primaria, los proyectos educativos aún no logran responder de forma tangible a las necesidades comunitarias y de justicia curricular planteadas en los </w:t>
      </w:r>
      <w:r w:rsidRPr="00F40EAB">
        <w:rPr>
          <w:rFonts w:ascii="Arial" w:hAnsi="Arial" w:cs="Arial"/>
          <w:b/>
          <w:bCs/>
        </w:rPr>
        <w:t>Fundamentos pedagógicos (Dimensión 1)</w:t>
      </w:r>
      <w:r w:rsidRPr="00F40EAB">
        <w:rPr>
          <w:rFonts w:ascii="Arial" w:hAnsi="Arial" w:cs="Arial"/>
        </w:rPr>
        <w:t>, cuyos objetivos tampoco logran una comprensión y aceptación plenas (</w:t>
      </w:r>
      <w:r w:rsidRPr="00F40EAB">
        <w:rPr>
          <w:rFonts w:ascii="Arial" w:hAnsi="Arial" w:cs="Arial"/>
          <w:i/>
          <w:iCs/>
        </w:rPr>
        <w:t>M</w:t>
      </w:r>
      <w:r w:rsidRPr="00F40EAB">
        <w:rPr>
          <w:rFonts w:ascii="Arial" w:hAnsi="Arial" w:cs="Arial"/>
        </w:rPr>
        <w:t xml:space="preserve"> = 3.20 y </w:t>
      </w:r>
      <w:r w:rsidRPr="00F40EAB">
        <w:rPr>
          <w:rFonts w:ascii="Arial" w:hAnsi="Arial" w:cs="Arial"/>
          <w:i/>
          <w:iCs/>
        </w:rPr>
        <w:t>M</w:t>
      </w:r>
      <w:r w:rsidRPr="00F40EAB">
        <w:rPr>
          <w:rFonts w:ascii="Arial" w:hAnsi="Arial" w:cs="Arial"/>
        </w:rPr>
        <w:t xml:space="preserve"> = 3.00).</w:t>
      </w:r>
    </w:p>
    <w:p w14:paraId="78AA2923" w14:textId="77777777" w:rsidR="00073187" w:rsidRPr="00F40EAB" w:rsidRDefault="00F40EAB">
      <w:pPr>
        <w:spacing w:after="120"/>
        <w:jc w:val="both"/>
        <w:rPr>
          <w:rFonts w:ascii="Arial" w:hAnsi="Arial" w:cs="Arial"/>
          <w:b/>
          <w:bCs/>
        </w:rPr>
      </w:pPr>
      <w:r w:rsidRPr="00F40EAB">
        <w:rPr>
          <w:rFonts w:ascii="Arial" w:hAnsi="Arial" w:cs="Arial"/>
          <w:b/>
          <w:bCs/>
        </w:rPr>
        <w:t>Perspectiva Directiva y de Gestión</w:t>
      </w:r>
    </w:p>
    <w:p w14:paraId="32F90D11" w14:textId="77777777" w:rsidR="00073187" w:rsidRPr="00F40EAB" w:rsidRDefault="00F40EAB">
      <w:pPr>
        <w:spacing w:after="120"/>
        <w:jc w:val="both"/>
        <w:rPr>
          <w:rFonts w:ascii="Arial" w:hAnsi="Arial" w:cs="Arial"/>
        </w:rPr>
      </w:pPr>
      <w:r w:rsidRPr="00F40EAB">
        <w:rPr>
          <w:rFonts w:ascii="Arial" w:hAnsi="Arial" w:cs="Arial"/>
          <w:b/>
          <w:bCs/>
        </w:rPr>
        <w:tab/>
      </w:r>
      <w:r w:rsidRPr="00F40EAB">
        <w:rPr>
          <w:rFonts w:ascii="Arial" w:hAnsi="Arial" w:cs="Arial"/>
        </w:rPr>
        <w:t>Para profundizar en las dinámicas subyacentes a la implementación de la NEM, se realizó un análisis de contenido temático de la entrevista semiestructurada aplicada a la dirección del plantel. Los hallazgos discursivos fueron codificados y agrupados en las cuatro dimensiones teóricas del estudio. La Tabla 2 sintetiza las categorías emergentes junto con los extractos narrativos más representativos.</w:t>
      </w:r>
    </w:p>
    <w:p w14:paraId="6AE8A8CC" w14:textId="77777777" w:rsidR="00916FA5" w:rsidRDefault="00916FA5">
      <w:pPr>
        <w:spacing w:before="200" w:after="120"/>
        <w:jc w:val="both"/>
        <w:rPr>
          <w:rFonts w:ascii="Arial" w:hAnsi="Arial" w:cs="Arial"/>
          <w:b/>
          <w:bCs/>
          <w:sz w:val="22"/>
          <w:szCs w:val="22"/>
        </w:rPr>
      </w:pPr>
    </w:p>
    <w:p w14:paraId="0C407A6F" w14:textId="77777777" w:rsidR="00916FA5" w:rsidRDefault="00916FA5">
      <w:pPr>
        <w:spacing w:before="200" w:after="120"/>
        <w:jc w:val="both"/>
        <w:rPr>
          <w:rFonts w:ascii="Arial" w:hAnsi="Arial" w:cs="Arial"/>
          <w:b/>
          <w:bCs/>
          <w:sz w:val="22"/>
          <w:szCs w:val="22"/>
        </w:rPr>
      </w:pPr>
    </w:p>
    <w:p w14:paraId="1777077D" w14:textId="452E0A4B" w:rsidR="00073187" w:rsidRDefault="00F40EAB">
      <w:pPr>
        <w:spacing w:before="200" w:after="120"/>
        <w:jc w:val="both"/>
        <w:rPr>
          <w:rFonts w:ascii="Arial" w:hAnsi="Arial" w:cs="Arial"/>
          <w:b/>
          <w:bCs/>
          <w:sz w:val="22"/>
          <w:szCs w:val="22"/>
        </w:rPr>
      </w:pPr>
      <w:r w:rsidRPr="00F40EAB">
        <w:rPr>
          <w:rFonts w:ascii="Arial" w:hAnsi="Arial" w:cs="Arial"/>
          <w:b/>
          <w:bCs/>
          <w:sz w:val="22"/>
          <w:szCs w:val="22"/>
        </w:rPr>
        <w:lastRenderedPageBreak/>
        <w:t>Tabla 2. Categorías cualitativas y evidencia discursiva sobre la gestión de la NEM</w:t>
      </w:r>
    </w:p>
    <w:p w14:paraId="124DAE26" w14:textId="77777777" w:rsidR="00916FA5" w:rsidRPr="00F40EAB" w:rsidRDefault="00916FA5">
      <w:pPr>
        <w:spacing w:before="200" w:after="120"/>
        <w:jc w:val="both"/>
        <w:rPr>
          <w:rFonts w:ascii="Arial" w:hAnsi="Arial" w:cs="Arial"/>
          <w:b/>
          <w:bCs/>
          <w:sz w:val="22"/>
          <w:szCs w:val="22"/>
        </w:rPr>
      </w:pPr>
    </w:p>
    <w:tbl>
      <w:tblPr>
        <w:tblStyle w:val="a2"/>
        <w:tblW w:w="6960"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2116"/>
        <w:gridCol w:w="2422"/>
        <w:gridCol w:w="2422"/>
      </w:tblGrid>
      <w:tr w:rsidR="00F40EAB" w:rsidRPr="00F40EAB" w14:paraId="57471319" w14:textId="77777777">
        <w:trPr>
          <w:trHeight w:val="658"/>
          <w:jc w:val="center"/>
        </w:trPr>
        <w:tc>
          <w:tcPr>
            <w:tcW w:w="2115" w:type="dxa"/>
            <w:tcBorders>
              <w:top w:val="single" w:sz="4" w:space="0" w:color="000000"/>
              <w:left w:val="nil"/>
              <w:bottom w:val="single" w:sz="4" w:space="0" w:color="000000"/>
              <w:right w:val="nil"/>
            </w:tcBorders>
            <w:vAlign w:val="center"/>
          </w:tcPr>
          <w:p w14:paraId="4C6716BC" w14:textId="77777777" w:rsidR="00073187" w:rsidRPr="00F40EAB" w:rsidRDefault="00F40EAB">
            <w:pPr>
              <w:spacing w:after="120"/>
              <w:jc w:val="center"/>
              <w:rPr>
                <w:rFonts w:ascii="Arial" w:hAnsi="Arial" w:cs="Arial"/>
              </w:rPr>
            </w:pPr>
            <w:r w:rsidRPr="00F40EAB">
              <w:rPr>
                <w:rFonts w:ascii="Arial" w:hAnsi="Arial" w:cs="Arial"/>
              </w:rPr>
              <w:t>Dimensión Teórica</w:t>
            </w:r>
          </w:p>
        </w:tc>
        <w:tc>
          <w:tcPr>
            <w:tcW w:w="2422" w:type="dxa"/>
            <w:tcBorders>
              <w:top w:val="single" w:sz="4" w:space="0" w:color="000000"/>
              <w:left w:val="nil"/>
              <w:bottom w:val="single" w:sz="4" w:space="0" w:color="000000"/>
              <w:right w:val="nil"/>
            </w:tcBorders>
            <w:vAlign w:val="center"/>
          </w:tcPr>
          <w:p w14:paraId="29DFF959" w14:textId="77777777" w:rsidR="00073187" w:rsidRPr="00F40EAB" w:rsidRDefault="00F40EAB">
            <w:pPr>
              <w:spacing w:after="240" w:line="276" w:lineRule="auto"/>
              <w:jc w:val="center"/>
              <w:rPr>
                <w:rFonts w:ascii="Arial" w:hAnsi="Arial" w:cs="Arial"/>
              </w:rPr>
            </w:pPr>
            <w:r w:rsidRPr="00F40EAB">
              <w:rPr>
                <w:rFonts w:ascii="Arial" w:hAnsi="Arial" w:cs="Arial"/>
              </w:rPr>
              <w:t>Hallazgo Principal (Categoría Emergente)</w:t>
            </w:r>
          </w:p>
        </w:tc>
        <w:tc>
          <w:tcPr>
            <w:tcW w:w="2422" w:type="dxa"/>
            <w:tcBorders>
              <w:top w:val="single" w:sz="4" w:space="0" w:color="000000"/>
              <w:left w:val="nil"/>
              <w:bottom w:val="single" w:sz="4" w:space="0" w:color="000000"/>
              <w:right w:val="nil"/>
            </w:tcBorders>
            <w:vAlign w:val="center"/>
          </w:tcPr>
          <w:p w14:paraId="106D9703" w14:textId="77777777" w:rsidR="00073187" w:rsidRPr="00F40EAB" w:rsidRDefault="00F40EAB">
            <w:pPr>
              <w:spacing w:after="240" w:line="276" w:lineRule="auto"/>
              <w:jc w:val="center"/>
              <w:rPr>
                <w:rFonts w:ascii="Arial" w:hAnsi="Arial" w:cs="Arial"/>
              </w:rPr>
            </w:pPr>
            <w:r w:rsidRPr="00F40EAB">
              <w:rPr>
                <w:rFonts w:ascii="Arial" w:hAnsi="Arial" w:cs="Arial"/>
              </w:rPr>
              <w:t>Extracto Discursivo Representativo (Dirección)</w:t>
            </w:r>
          </w:p>
        </w:tc>
      </w:tr>
      <w:tr w:rsidR="00F40EAB" w:rsidRPr="00F40EAB" w14:paraId="1492C96D" w14:textId="77777777">
        <w:trPr>
          <w:jc w:val="center"/>
        </w:trPr>
        <w:tc>
          <w:tcPr>
            <w:tcW w:w="2115" w:type="dxa"/>
            <w:tcBorders>
              <w:top w:val="single" w:sz="4" w:space="0" w:color="000000"/>
              <w:left w:val="nil"/>
              <w:bottom w:val="single" w:sz="4" w:space="0" w:color="000000"/>
              <w:right w:val="nil"/>
            </w:tcBorders>
            <w:vAlign w:val="center"/>
          </w:tcPr>
          <w:p w14:paraId="5CB48B15" w14:textId="77777777" w:rsidR="00073187" w:rsidRPr="00F40EAB" w:rsidRDefault="00F40EAB">
            <w:pPr>
              <w:spacing w:after="120"/>
              <w:rPr>
                <w:rFonts w:ascii="Arial" w:hAnsi="Arial" w:cs="Arial"/>
              </w:rPr>
            </w:pPr>
            <w:r w:rsidRPr="00F40EAB">
              <w:rPr>
                <w:rFonts w:ascii="Arial" w:hAnsi="Arial" w:cs="Arial"/>
              </w:rPr>
              <w:t>1. Fundamentos pedagógicos de la NEM</w:t>
            </w:r>
          </w:p>
        </w:tc>
        <w:tc>
          <w:tcPr>
            <w:tcW w:w="2422" w:type="dxa"/>
            <w:tcBorders>
              <w:top w:val="single" w:sz="4" w:space="0" w:color="000000"/>
              <w:left w:val="nil"/>
              <w:bottom w:val="single" w:sz="4" w:space="0" w:color="000000"/>
              <w:right w:val="nil"/>
            </w:tcBorders>
            <w:vAlign w:val="center"/>
          </w:tcPr>
          <w:p w14:paraId="15489F24" w14:textId="77777777" w:rsidR="00073187" w:rsidRPr="00F40EAB" w:rsidRDefault="00F40EAB">
            <w:pPr>
              <w:spacing w:after="120"/>
              <w:jc w:val="center"/>
              <w:rPr>
                <w:rFonts w:ascii="Arial" w:hAnsi="Arial" w:cs="Arial"/>
              </w:rPr>
            </w:pPr>
            <w:r w:rsidRPr="00F40EAB">
              <w:rPr>
                <w:rFonts w:ascii="Arial" w:hAnsi="Arial" w:cs="Arial"/>
              </w:rPr>
              <w:t>Transición paradigmática inacabada: Persiste el arraigo a modelos tradicionalistas que dificulta la apropiación conceptual del nuevo modelo.</w:t>
            </w:r>
          </w:p>
        </w:tc>
        <w:tc>
          <w:tcPr>
            <w:tcW w:w="2422" w:type="dxa"/>
            <w:tcBorders>
              <w:top w:val="single" w:sz="4" w:space="0" w:color="000000"/>
              <w:left w:val="nil"/>
              <w:bottom w:val="single" w:sz="4" w:space="0" w:color="000000"/>
              <w:right w:val="nil"/>
            </w:tcBorders>
            <w:vAlign w:val="center"/>
          </w:tcPr>
          <w:p w14:paraId="1E0DDAE2" w14:textId="77777777" w:rsidR="00073187" w:rsidRPr="00F40EAB" w:rsidRDefault="00F40EAB">
            <w:pPr>
              <w:spacing w:after="120"/>
              <w:jc w:val="center"/>
              <w:rPr>
                <w:rFonts w:ascii="Arial" w:hAnsi="Arial" w:cs="Arial"/>
                <w:i/>
                <w:iCs/>
              </w:rPr>
            </w:pPr>
            <w:r w:rsidRPr="00F40EAB">
              <w:rPr>
                <w:rFonts w:ascii="Arial" w:hAnsi="Arial" w:cs="Arial"/>
                <w:i/>
                <w:iCs/>
              </w:rPr>
              <w:t>"Venimos trabajando con la 'escuela antigua' [...] sí ha sido difícil que se adapten [...] la experiencia previa nos ha llevado a estar un poco renuentes a la innovación".</w:t>
            </w:r>
          </w:p>
        </w:tc>
      </w:tr>
      <w:tr w:rsidR="00F40EAB" w:rsidRPr="00F40EAB" w14:paraId="1A58254F" w14:textId="77777777">
        <w:trPr>
          <w:jc w:val="center"/>
        </w:trPr>
        <w:tc>
          <w:tcPr>
            <w:tcW w:w="2115" w:type="dxa"/>
            <w:tcBorders>
              <w:top w:val="single" w:sz="4" w:space="0" w:color="000000"/>
              <w:left w:val="nil"/>
              <w:bottom w:val="single" w:sz="4" w:space="0" w:color="000000"/>
              <w:right w:val="nil"/>
            </w:tcBorders>
            <w:vAlign w:val="center"/>
          </w:tcPr>
          <w:p w14:paraId="5E460C59" w14:textId="77777777" w:rsidR="00073187" w:rsidRPr="00F40EAB" w:rsidRDefault="00F40EAB">
            <w:pPr>
              <w:spacing w:after="120"/>
              <w:rPr>
                <w:rFonts w:ascii="Arial" w:hAnsi="Arial" w:cs="Arial"/>
              </w:rPr>
            </w:pPr>
            <w:r w:rsidRPr="00F40EAB">
              <w:rPr>
                <w:rFonts w:ascii="Arial" w:hAnsi="Arial" w:cs="Arial"/>
              </w:rPr>
              <w:t>2. Metodologías activas en la educación básica</w:t>
            </w:r>
          </w:p>
        </w:tc>
        <w:tc>
          <w:tcPr>
            <w:tcW w:w="2422" w:type="dxa"/>
            <w:tcBorders>
              <w:top w:val="single" w:sz="4" w:space="0" w:color="000000"/>
              <w:left w:val="nil"/>
              <w:bottom w:val="single" w:sz="4" w:space="0" w:color="000000"/>
              <w:right w:val="nil"/>
            </w:tcBorders>
            <w:vAlign w:val="center"/>
          </w:tcPr>
          <w:p w14:paraId="4054A38D" w14:textId="77777777" w:rsidR="00073187" w:rsidRPr="00F40EAB" w:rsidRDefault="00F40EAB">
            <w:pPr>
              <w:spacing w:after="120"/>
              <w:jc w:val="center"/>
              <w:rPr>
                <w:rFonts w:ascii="Arial" w:hAnsi="Arial" w:cs="Arial"/>
              </w:rPr>
            </w:pPr>
            <w:r w:rsidRPr="00F40EAB">
              <w:rPr>
                <w:rFonts w:ascii="Arial" w:hAnsi="Arial" w:cs="Arial"/>
              </w:rPr>
              <w:t>Disonancia entre ejecución y sistematización: Las metodologías dinamizan al alumno, pero la evaluación formativa representa un reto administrativo, no de ejecución práctica.</w:t>
            </w:r>
          </w:p>
        </w:tc>
        <w:tc>
          <w:tcPr>
            <w:tcW w:w="2422" w:type="dxa"/>
            <w:tcBorders>
              <w:top w:val="single" w:sz="4" w:space="0" w:color="000000"/>
              <w:left w:val="nil"/>
              <w:bottom w:val="single" w:sz="4" w:space="0" w:color="000000"/>
              <w:right w:val="nil"/>
            </w:tcBorders>
            <w:vAlign w:val="center"/>
          </w:tcPr>
          <w:p w14:paraId="0A131D4F" w14:textId="77777777" w:rsidR="00073187" w:rsidRPr="00F40EAB" w:rsidRDefault="00F40EAB">
            <w:pPr>
              <w:spacing w:after="120"/>
              <w:jc w:val="center"/>
              <w:rPr>
                <w:rFonts w:ascii="Arial" w:hAnsi="Arial" w:cs="Arial"/>
                <w:i/>
                <w:iCs/>
              </w:rPr>
            </w:pPr>
            <w:r w:rsidRPr="00F40EAB">
              <w:rPr>
                <w:rFonts w:ascii="Arial" w:hAnsi="Arial" w:cs="Arial"/>
                <w:i/>
                <w:iCs/>
              </w:rPr>
              <w:t>"La evaluación formativa ha sido parte de nuestro día a día [...] lo único que nos ha costado trabajo es transitar efectivamente el de realizarla a plasmarla [sistematizarla]".</w:t>
            </w:r>
          </w:p>
        </w:tc>
      </w:tr>
      <w:tr w:rsidR="00F40EAB" w:rsidRPr="00F40EAB" w14:paraId="0A1EA8BD" w14:textId="77777777">
        <w:trPr>
          <w:jc w:val="center"/>
        </w:trPr>
        <w:tc>
          <w:tcPr>
            <w:tcW w:w="2115" w:type="dxa"/>
            <w:tcBorders>
              <w:top w:val="single" w:sz="4" w:space="0" w:color="000000"/>
              <w:left w:val="nil"/>
              <w:bottom w:val="single" w:sz="4" w:space="0" w:color="000000"/>
              <w:right w:val="nil"/>
            </w:tcBorders>
            <w:vAlign w:val="center"/>
          </w:tcPr>
          <w:p w14:paraId="429C17B9" w14:textId="77777777" w:rsidR="00073187" w:rsidRPr="00F40EAB" w:rsidRDefault="00F40EAB">
            <w:pPr>
              <w:spacing w:after="120"/>
              <w:jc w:val="both"/>
              <w:rPr>
                <w:rFonts w:ascii="Arial" w:hAnsi="Arial" w:cs="Arial"/>
              </w:rPr>
            </w:pPr>
            <w:r w:rsidRPr="00F40EAB">
              <w:rPr>
                <w:rFonts w:ascii="Arial" w:hAnsi="Arial" w:cs="Arial"/>
              </w:rPr>
              <w:t>3. Relevancia del contexto sociocultural</w:t>
            </w:r>
          </w:p>
        </w:tc>
        <w:tc>
          <w:tcPr>
            <w:tcW w:w="2422" w:type="dxa"/>
            <w:tcBorders>
              <w:top w:val="single" w:sz="4" w:space="0" w:color="000000"/>
              <w:left w:val="nil"/>
              <w:bottom w:val="single" w:sz="4" w:space="0" w:color="000000"/>
              <w:right w:val="nil"/>
            </w:tcBorders>
            <w:vAlign w:val="center"/>
          </w:tcPr>
          <w:p w14:paraId="7946EDBE" w14:textId="77777777" w:rsidR="00073187" w:rsidRPr="00F40EAB" w:rsidRDefault="00F40EAB">
            <w:pPr>
              <w:spacing w:after="120"/>
              <w:jc w:val="center"/>
              <w:rPr>
                <w:rFonts w:ascii="Arial" w:hAnsi="Arial" w:cs="Arial"/>
              </w:rPr>
            </w:pPr>
            <w:r w:rsidRPr="00F40EAB">
              <w:rPr>
                <w:rFonts w:ascii="Arial" w:hAnsi="Arial" w:cs="Arial"/>
              </w:rPr>
              <w:t>Fractura en el binomio escuela-comunidad: El diseño de proyectos comunitarios choca con la realidad socioeconómica y la disponibilidad de las familias.</w:t>
            </w:r>
          </w:p>
        </w:tc>
        <w:tc>
          <w:tcPr>
            <w:tcW w:w="2422" w:type="dxa"/>
            <w:tcBorders>
              <w:top w:val="single" w:sz="4" w:space="0" w:color="000000"/>
              <w:left w:val="nil"/>
              <w:bottom w:val="single" w:sz="4" w:space="0" w:color="000000"/>
              <w:right w:val="nil"/>
            </w:tcBorders>
            <w:vAlign w:val="center"/>
          </w:tcPr>
          <w:p w14:paraId="311B948D" w14:textId="77777777" w:rsidR="00073187" w:rsidRPr="00F40EAB" w:rsidRDefault="00F40EAB">
            <w:pPr>
              <w:spacing w:after="120"/>
              <w:jc w:val="center"/>
              <w:rPr>
                <w:rFonts w:ascii="Arial" w:hAnsi="Arial" w:cs="Arial"/>
                <w:i/>
                <w:iCs/>
              </w:rPr>
            </w:pPr>
            <w:r w:rsidRPr="00F40EAB">
              <w:rPr>
                <w:rFonts w:ascii="Arial" w:hAnsi="Arial" w:cs="Arial"/>
                <w:i/>
                <w:iCs/>
              </w:rPr>
              <w:t>"Se trabaja con la comunidad en los diferentes proyectos [...] pero los papás no están presentes debido a sus diferentes actividades [...] que se realice al cien por ciento, no".</w:t>
            </w:r>
          </w:p>
        </w:tc>
      </w:tr>
      <w:tr w:rsidR="00F40EAB" w:rsidRPr="00F40EAB" w14:paraId="751306CC" w14:textId="77777777">
        <w:trPr>
          <w:jc w:val="center"/>
        </w:trPr>
        <w:tc>
          <w:tcPr>
            <w:tcW w:w="2115" w:type="dxa"/>
            <w:tcBorders>
              <w:top w:val="single" w:sz="4" w:space="0" w:color="000000"/>
              <w:left w:val="nil"/>
              <w:bottom w:val="single" w:sz="4" w:space="0" w:color="000000"/>
              <w:right w:val="nil"/>
            </w:tcBorders>
            <w:vAlign w:val="center"/>
          </w:tcPr>
          <w:p w14:paraId="553C0106" w14:textId="77777777" w:rsidR="00073187" w:rsidRPr="00F40EAB" w:rsidRDefault="00F40EAB">
            <w:pPr>
              <w:spacing w:after="120"/>
              <w:jc w:val="both"/>
              <w:rPr>
                <w:rFonts w:ascii="Arial" w:hAnsi="Arial" w:cs="Arial"/>
              </w:rPr>
            </w:pPr>
            <w:r w:rsidRPr="00F40EAB">
              <w:rPr>
                <w:rFonts w:ascii="Arial" w:hAnsi="Arial" w:cs="Arial"/>
              </w:rPr>
              <w:t>4. El rol docente y retos de implementación</w:t>
            </w:r>
          </w:p>
        </w:tc>
        <w:tc>
          <w:tcPr>
            <w:tcW w:w="2422" w:type="dxa"/>
            <w:tcBorders>
              <w:top w:val="single" w:sz="4" w:space="0" w:color="000000"/>
              <w:left w:val="nil"/>
              <w:bottom w:val="single" w:sz="4" w:space="0" w:color="000000"/>
              <w:right w:val="nil"/>
            </w:tcBorders>
            <w:vAlign w:val="center"/>
          </w:tcPr>
          <w:p w14:paraId="7A001D04" w14:textId="77777777" w:rsidR="00073187" w:rsidRPr="00F40EAB" w:rsidRDefault="00F40EAB">
            <w:pPr>
              <w:spacing w:after="120"/>
              <w:jc w:val="center"/>
              <w:rPr>
                <w:rFonts w:ascii="Arial" w:hAnsi="Arial" w:cs="Arial"/>
              </w:rPr>
            </w:pPr>
            <w:r w:rsidRPr="00F40EAB">
              <w:rPr>
                <w:rFonts w:ascii="Arial" w:hAnsi="Arial" w:cs="Arial"/>
              </w:rPr>
              <w:t>Orfandad institucional y redes de apoyo interno: Ante la deficiencia de la capacitación oficial, la escuela recurre a la autogestión y al Consejo Técnico Escolar (CTE).</w:t>
            </w:r>
          </w:p>
        </w:tc>
        <w:tc>
          <w:tcPr>
            <w:tcW w:w="2422" w:type="dxa"/>
            <w:tcBorders>
              <w:top w:val="single" w:sz="4" w:space="0" w:color="000000"/>
              <w:left w:val="nil"/>
              <w:bottom w:val="single" w:sz="4" w:space="0" w:color="000000"/>
              <w:right w:val="nil"/>
            </w:tcBorders>
            <w:vAlign w:val="center"/>
          </w:tcPr>
          <w:p w14:paraId="71661A7C" w14:textId="77777777" w:rsidR="00073187" w:rsidRPr="00F40EAB" w:rsidRDefault="00F40EAB">
            <w:pPr>
              <w:spacing w:after="120"/>
              <w:jc w:val="center"/>
              <w:rPr>
                <w:rFonts w:ascii="Arial" w:hAnsi="Arial" w:cs="Arial"/>
                <w:i/>
                <w:iCs/>
              </w:rPr>
            </w:pPr>
            <w:r w:rsidRPr="00F40EAB">
              <w:rPr>
                <w:rFonts w:ascii="Arial" w:hAnsi="Arial" w:cs="Arial"/>
                <w:i/>
                <w:iCs/>
              </w:rPr>
              <w:t>"No se nos ha capacitado como se debería, nos mandaron a la guerra sin armas [...] el acompañamiento [interno] o las estrategias son los consejos técnicos".</w:t>
            </w:r>
          </w:p>
        </w:tc>
      </w:tr>
    </w:tbl>
    <w:p w14:paraId="75F8B4C5" w14:textId="77777777" w:rsidR="00073187" w:rsidRPr="00F40EAB" w:rsidRDefault="00F40EAB">
      <w:pPr>
        <w:spacing w:after="120"/>
        <w:jc w:val="center"/>
        <w:rPr>
          <w:rFonts w:ascii="Arial" w:hAnsi="Arial" w:cs="Arial"/>
        </w:rPr>
      </w:pPr>
      <w:r w:rsidRPr="00F40EAB">
        <w:rPr>
          <w:rFonts w:ascii="Arial" w:hAnsi="Arial" w:cs="Arial"/>
          <w:sz w:val="20"/>
          <w:szCs w:val="20"/>
        </w:rPr>
        <w:t>Fuente: elaboración propia</w:t>
      </w:r>
    </w:p>
    <w:p w14:paraId="613BE2B9" w14:textId="77777777" w:rsidR="00073187" w:rsidRPr="00F40EAB" w:rsidRDefault="00F40EAB">
      <w:pPr>
        <w:spacing w:before="200" w:after="240" w:line="276" w:lineRule="auto"/>
        <w:ind w:firstLine="720"/>
        <w:jc w:val="both"/>
        <w:rPr>
          <w:rFonts w:ascii="Arial" w:hAnsi="Arial" w:cs="Arial"/>
        </w:rPr>
      </w:pPr>
      <w:r w:rsidRPr="00F40EAB">
        <w:rPr>
          <w:rFonts w:ascii="Arial" w:hAnsi="Arial" w:cs="Arial"/>
        </w:rPr>
        <w:t>El análisis del discurso directivo revela tensiones operativas que explican de manera elocuente los resultados cuantitativos previos:</w:t>
      </w:r>
    </w:p>
    <w:p w14:paraId="654D1E7B" w14:textId="77777777" w:rsidR="00916FA5" w:rsidRDefault="00916FA5">
      <w:pPr>
        <w:spacing w:after="240" w:line="276" w:lineRule="auto"/>
        <w:jc w:val="both"/>
        <w:rPr>
          <w:rFonts w:ascii="Arial" w:hAnsi="Arial" w:cs="Arial"/>
          <w:i/>
          <w:iCs/>
        </w:rPr>
      </w:pPr>
    </w:p>
    <w:p w14:paraId="4FA6AF19" w14:textId="77777777" w:rsidR="00916FA5" w:rsidRDefault="00916FA5">
      <w:pPr>
        <w:spacing w:after="240" w:line="276" w:lineRule="auto"/>
        <w:jc w:val="both"/>
        <w:rPr>
          <w:rFonts w:ascii="Arial" w:hAnsi="Arial" w:cs="Arial"/>
          <w:i/>
          <w:iCs/>
        </w:rPr>
      </w:pPr>
    </w:p>
    <w:p w14:paraId="5175C878" w14:textId="4218E219" w:rsidR="00073187" w:rsidRPr="00F40EAB" w:rsidRDefault="00F40EAB">
      <w:pPr>
        <w:spacing w:after="240" w:line="276" w:lineRule="auto"/>
        <w:jc w:val="both"/>
        <w:rPr>
          <w:rFonts w:ascii="Arial" w:hAnsi="Arial" w:cs="Arial"/>
          <w:i/>
          <w:iCs/>
        </w:rPr>
      </w:pPr>
      <w:r w:rsidRPr="00F40EAB">
        <w:rPr>
          <w:rFonts w:ascii="Arial" w:hAnsi="Arial" w:cs="Arial"/>
          <w:i/>
          <w:iCs/>
        </w:rPr>
        <w:lastRenderedPageBreak/>
        <w:t>El peso de la experiencia como barrera y ancla (Dimensiones 1 y 4)</w:t>
      </w:r>
    </w:p>
    <w:p w14:paraId="2E9887B3" w14:textId="77777777" w:rsidR="00073187" w:rsidRPr="00F40EAB" w:rsidRDefault="00F40EAB">
      <w:pPr>
        <w:spacing w:after="240" w:line="276" w:lineRule="auto"/>
        <w:ind w:firstLine="720"/>
        <w:jc w:val="both"/>
        <w:rPr>
          <w:rFonts w:ascii="Arial" w:hAnsi="Arial" w:cs="Arial"/>
        </w:rPr>
      </w:pPr>
      <w:r w:rsidRPr="00F40EAB">
        <w:rPr>
          <w:rFonts w:ascii="Arial" w:hAnsi="Arial" w:cs="Arial"/>
        </w:rPr>
        <w:t>Mientras que en el cuestionario los docentes señalaron su "experiencia previa" como su principal fortaleza (</w:t>
      </w:r>
      <m:oMath>
        <m:r>
          <w:rPr>
            <w:rFonts w:ascii="Cambria Math" w:hAnsi="Cambria Math" w:cs="Arial"/>
          </w:rPr>
          <m:t>M=4.00</m:t>
        </m:r>
      </m:oMath>
      <w:r w:rsidRPr="00F40EAB">
        <w:rPr>
          <w:rFonts w:ascii="Arial" w:hAnsi="Arial" w:cs="Arial"/>
        </w:rPr>
        <w:t xml:space="preserve">), la dirección identifica esta misma experiencia como un arma de doble filo. El arraigo a la "escuela antigua" y a metodologías memorísticas genera una resistencia natural a la innovación propuesta por la NEM. Sumado a esto, la directora confirma categóricamente la falla estructural en la formación docente al afirmar que fueron enviados </w:t>
      </w:r>
      <w:r w:rsidRPr="00F40EAB">
        <w:rPr>
          <w:rFonts w:ascii="Arial" w:hAnsi="Arial" w:cs="Arial"/>
          <w:i/>
          <w:iCs/>
        </w:rPr>
        <w:t>"a la guerra sin armas"</w:t>
      </w:r>
      <w:r w:rsidRPr="00F40EAB">
        <w:rPr>
          <w:rFonts w:ascii="Arial" w:hAnsi="Arial" w:cs="Arial"/>
        </w:rPr>
        <w:t>. Esta metáfora valida la puntuación críticamente baja (</w:t>
      </w:r>
      <m:oMath>
        <m:r>
          <w:rPr>
            <w:rFonts w:ascii="Cambria Math" w:hAnsi="Cambria Math" w:cs="Arial"/>
          </w:rPr>
          <m:t>M=2.40</m:t>
        </m:r>
      </m:oMath>
      <w:r w:rsidRPr="00F40EAB">
        <w:rPr>
          <w:rFonts w:ascii="Arial" w:hAnsi="Arial" w:cs="Arial"/>
        </w:rPr>
        <w:t>) otorgada por los maestros a las capacitaciones oficiales, justificando por qué la dirección ha tenido que instaurar redes de acompañamiento interno a través de los Consejos Técnicos Escolares (CTE).</w:t>
      </w:r>
    </w:p>
    <w:p w14:paraId="2C9AAB48" w14:textId="77777777" w:rsidR="00073187" w:rsidRPr="00F40EAB" w:rsidRDefault="00F40EAB">
      <w:pPr>
        <w:spacing w:after="240" w:line="276" w:lineRule="auto"/>
        <w:jc w:val="both"/>
        <w:rPr>
          <w:rFonts w:ascii="Arial" w:hAnsi="Arial" w:cs="Arial"/>
          <w:i/>
          <w:iCs/>
        </w:rPr>
      </w:pPr>
      <w:r w:rsidRPr="00F40EAB">
        <w:rPr>
          <w:rFonts w:ascii="Arial" w:hAnsi="Arial" w:cs="Arial"/>
          <w:i/>
          <w:iCs/>
        </w:rPr>
        <w:t>El reto de la sistematización frente a la práctica (Dimensión 2)</w:t>
      </w:r>
    </w:p>
    <w:p w14:paraId="44A9A70C" w14:textId="77777777" w:rsidR="00073187" w:rsidRPr="00F40EAB" w:rsidRDefault="00F40EAB">
      <w:pPr>
        <w:spacing w:after="240" w:line="276" w:lineRule="auto"/>
        <w:ind w:firstLine="720"/>
        <w:jc w:val="both"/>
        <w:rPr>
          <w:rFonts w:ascii="Arial" w:hAnsi="Arial" w:cs="Arial"/>
        </w:rPr>
      </w:pPr>
      <w:r w:rsidRPr="00F40EAB">
        <w:rPr>
          <w:rFonts w:ascii="Arial" w:hAnsi="Arial" w:cs="Arial"/>
        </w:rPr>
        <w:t xml:space="preserve">Un hallazgo revelador surge en el rubro de la evaluación formativa y las metodologías activas. La dirección observa un impacto positivo y tangible en el alumnado, describiéndolos como más "activos" y "científicos". El verdadero obstáculo reportado no es la ejecución de la evaluación formativa </w:t>
      </w:r>
      <w:r w:rsidRPr="00F40EAB">
        <w:rPr>
          <w:rFonts w:ascii="Arial" w:hAnsi="Arial" w:cs="Arial"/>
          <w:i/>
          <w:iCs/>
        </w:rPr>
        <w:t>per se</w:t>
      </w:r>
      <w:r w:rsidRPr="00F40EAB">
        <w:rPr>
          <w:rFonts w:ascii="Arial" w:hAnsi="Arial" w:cs="Arial"/>
        </w:rPr>
        <w:t xml:space="preserve">, sino la carga administrativa que implica </w:t>
      </w:r>
      <w:r w:rsidRPr="00F40EAB">
        <w:rPr>
          <w:rFonts w:ascii="Arial" w:hAnsi="Arial" w:cs="Arial"/>
          <w:b/>
          <w:bCs/>
        </w:rPr>
        <w:t>sistematizarla</w:t>
      </w:r>
      <w:r w:rsidRPr="00F40EAB">
        <w:rPr>
          <w:rFonts w:ascii="Arial" w:hAnsi="Arial" w:cs="Arial"/>
        </w:rPr>
        <w:t xml:space="preserve"> y traducirla a una calificación numérica final. Esto explica por qué los docentes reportaron en el cuestionario que las metodologías no han mejorado sustancialmente su práctica global (</w:t>
      </w:r>
      <m:oMath>
        <m:r>
          <w:rPr>
            <w:rFonts w:ascii="Cambria Math" w:hAnsi="Cambria Math" w:cs="Arial"/>
          </w:rPr>
          <m:t>M=2.80</m:t>
        </m:r>
      </m:oMath>
      <w:r w:rsidRPr="00F40EAB">
        <w:rPr>
          <w:rFonts w:ascii="Arial" w:hAnsi="Arial" w:cs="Arial"/>
        </w:rPr>
        <w:t>): el desgaste burocrático opaca el éxito pedagógico.</w:t>
      </w:r>
    </w:p>
    <w:p w14:paraId="3B7A528C" w14:textId="77777777" w:rsidR="00073187" w:rsidRPr="00F40EAB" w:rsidRDefault="00F40EAB">
      <w:pPr>
        <w:spacing w:after="240" w:line="276" w:lineRule="auto"/>
        <w:jc w:val="both"/>
        <w:rPr>
          <w:rFonts w:ascii="Arial" w:hAnsi="Arial" w:cs="Arial"/>
          <w:i/>
          <w:iCs/>
        </w:rPr>
      </w:pPr>
      <w:r w:rsidRPr="00F40EAB">
        <w:rPr>
          <w:rFonts w:ascii="Arial" w:hAnsi="Arial" w:cs="Arial"/>
          <w:i/>
          <w:iCs/>
        </w:rPr>
        <w:t>La limitante estructural de la participación comunitaria (Dimensión 3)</w:t>
      </w:r>
    </w:p>
    <w:p w14:paraId="5EBDA0DF" w14:textId="77777777" w:rsidR="00073187" w:rsidRPr="00F40EAB" w:rsidRDefault="00F40EAB">
      <w:pPr>
        <w:spacing w:after="240" w:line="276" w:lineRule="auto"/>
        <w:ind w:firstLine="720"/>
        <w:jc w:val="both"/>
        <w:rPr>
          <w:rFonts w:ascii="Arial" w:hAnsi="Arial" w:cs="Arial"/>
        </w:rPr>
      </w:pPr>
      <w:r w:rsidRPr="00F40EAB">
        <w:rPr>
          <w:rFonts w:ascii="Arial" w:hAnsi="Arial" w:cs="Arial"/>
        </w:rPr>
        <w:t xml:space="preserve">Finalmente, la perspectiva directiva esclarece la baja puntuación obtenida en el fomento a la participación comunitaria. Aunque la NEM exige integrar a la comunidad mediante proyectos, la directora señala que las dinámicas laborales y socioeconómicas de los padres de familia impiden su presencia en la escuela. Esto demuestra que la política educativa choca con las condiciones materiales de la localidad rural, convirtiendo a la integración comunitaria en una aspiración pedagógica que resulta difícil de materializar </w:t>
      </w:r>
      <w:r w:rsidRPr="00F40EAB">
        <w:rPr>
          <w:rFonts w:ascii="Arial" w:hAnsi="Arial" w:cs="Arial"/>
          <w:i/>
          <w:iCs/>
        </w:rPr>
        <w:t>"al cien por ciento"</w:t>
      </w:r>
      <w:r w:rsidRPr="00F40EAB">
        <w:rPr>
          <w:rFonts w:ascii="Arial" w:hAnsi="Arial" w:cs="Arial"/>
        </w:rPr>
        <w:t>.</w:t>
      </w:r>
    </w:p>
    <w:p w14:paraId="2BD166F3" w14:textId="77777777" w:rsidR="00073187" w:rsidRPr="00F40EAB" w:rsidRDefault="00F40EAB">
      <w:pPr>
        <w:spacing w:after="120"/>
        <w:jc w:val="both"/>
        <w:rPr>
          <w:rFonts w:ascii="Arial" w:hAnsi="Arial" w:cs="Arial"/>
          <w:b/>
          <w:bCs/>
        </w:rPr>
      </w:pPr>
      <w:r w:rsidRPr="00F40EAB">
        <w:rPr>
          <w:rFonts w:ascii="Arial" w:hAnsi="Arial" w:cs="Arial"/>
          <w:b/>
          <w:bCs/>
        </w:rPr>
        <w:t>Promedios académicos generales</w:t>
      </w:r>
    </w:p>
    <w:p w14:paraId="1B674D40" w14:textId="18E8F89D" w:rsidR="00073187" w:rsidRPr="00F40EAB" w:rsidRDefault="00F40EAB">
      <w:pPr>
        <w:spacing w:after="240" w:line="276" w:lineRule="auto"/>
        <w:ind w:firstLine="720"/>
        <w:jc w:val="both"/>
        <w:rPr>
          <w:rFonts w:ascii="Arial" w:hAnsi="Arial" w:cs="Arial"/>
          <w:b/>
          <w:bCs/>
        </w:rPr>
      </w:pPr>
      <w:r w:rsidRPr="00F40EAB">
        <w:rPr>
          <w:rFonts w:ascii="Arial" w:hAnsi="Arial" w:cs="Arial"/>
        </w:rPr>
        <w:t xml:space="preserve">Para evaluar el impacto numérico de la implementación del nuevo modelo en el rendimiento académico del alumnado, se realizó un análisis longitudinal retrospectivo. Se utilizó </w:t>
      </w:r>
      <w:r w:rsidR="00225C29" w:rsidRPr="00F40EAB">
        <w:rPr>
          <w:rFonts w:ascii="Arial" w:hAnsi="Arial" w:cs="Arial"/>
        </w:rPr>
        <w:t xml:space="preserve">la prueba </w:t>
      </w:r>
      <w:r w:rsidR="00225C29" w:rsidRPr="00F40EAB">
        <w:rPr>
          <w:rFonts w:ascii="Arial" w:hAnsi="Arial" w:cs="Arial"/>
          <w:i/>
          <w:iCs/>
        </w:rPr>
        <w:t>t</w:t>
      </w:r>
      <w:r w:rsidR="00225C29" w:rsidRPr="00F40EAB">
        <w:rPr>
          <w:rFonts w:ascii="Arial" w:hAnsi="Arial" w:cs="Arial"/>
        </w:rPr>
        <w:t xml:space="preserve"> de Welch para comparar las cohortes de estudiantes que cursaron ambos ciclos escolares en la institución (14</w:t>
      </w:r>
      <w:r w:rsidR="0059551B" w:rsidRPr="00F40EAB">
        <w:rPr>
          <w:rFonts w:ascii="Arial" w:hAnsi="Arial" w:cs="Arial"/>
        </w:rPr>
        <w:t>5</w:t>
      </w:r>
      <w:r w:rsidR="00225C29" w:rsidRPr="00F40EAB">
        <w:rPr>
          <w:rFonts w:ascii="Arial" w:hAnsi="Arial" w:cs="Arial"/>
        </w:rPr>
        <w:t xml:space="preserve"> registros en </w:t>
      </w:r>
      <w:r w:rsidR="00225C29" w:rsidRPr="00F40EAB">
        <w:rPr>
          <w:rFonts w:ascii="Arial" w:hAnsi="Arial" w:cs="Arial"/>
        </w:rPr>
        <w:lastRenderedPageBreak/>
        <w:t>2024-2025 y 145 en 2025-2026)</w:t>
      </w:r>
      <w:r w:rsidRPr="00F40EAB">
        <w:rPr>
          <w:rFonts w:ascii="Arial" w:hAnsi="Arial" w:cs="Arial"/>
        </w:rPr>
        <w:t>. Los estadísticos descriptivos e inferenciales se detallan en la Tabla 3.</w:t>
      </w:r>
    </w:p>
    <w:p w14:paraId="650B42F9" w14:textId="062DCF01" w:rsidR="00073187" w:rsidRPr="00F40EAB" w:rsidRDefault="00F40EAB">
      <w:pPr>
        <w:spacing w:before="200" w:after="120"/>
        <w:jc w:val="both"/>
        <w:rPr>
          <w:rFonts w:ascii="Arial" w:hAnsi="Arial" w:cs="Arial"/>
          <w:b/>
          <w:bCs/>
          <w:sz w:val="22"/>
          <w:szCs w:val="22"/>
        </w:rPr>
      </w:pPr>
      <w:r w:rsidRPr="00F40EAB">
        <w:rPr>
          <w:rFonts w:ascii="Arial" w:hAnsi="Arial" w:cs="Arial"/>
          <w:b/>
          <w:bCs/>
          <w:sz w:val="22"/>
          <w:szCs w:val="22"/>
        </w:rPr>
        <w:t>Tabla 3. Comparativa de promedios académicos generales (Ciclo 2024-2025 vs. 2025-2026)</w:t>
      </w:r>
      <w:r w:rsidR="00225C29" w:rsidRPr="00F40EAB">
        <w:rPr>
          <w:rFonts w:ascii="Arial" w:hAnsi="Arial" w:cs="Arial"/>
          <w:b/>
          <w:bCs/>
          <w:sz w:val="22"/>
          <w:szCs w:val="22"/>
        </w:rPr>
        <w:t>, por cohorte</w:t>
      </w:r>
    </w:p>
    <w:tbl>
      <w:tblPr>
        <w:tblW w:w="0" w:type="auto"/>
        <w:jc w:val="center"/>
        <w:tblCellMar>
          <w:top w:w="15" w:type="dxa"/>
          <w:left w:w="15" w:type="dxa"/>
          <w:bottom w:w="15" w:type="dxa"/>
          <w:right w:w="15" w:type="dxa"/>
        </w:tblCellMar>
        <w:tblLook w:val="04A0" w:firstRow="1" w:lastRow="0" w:firstColumn="1" w:lastColumn="0" w:noHBand="0" w:noVBand="1"/>
      </w:tblPr>
      <w:tblGrid>
        <w:gridCol w:w="1964"/>
        <w:gridCol w:w="862"/>
        <w:gridCol w:w="864"/>
        <w:gridCol w:w="864"/>
        <w:gridCol w:w="567"/>
        <w:gridCol w:w="1222"/>
        <w:gridCol w:w="867"/>
        <w:gridCol w:w="1156"/>
        <w:gridCol w:w="661"/>
      </w:tblGrid>
      <w:tr w:rsidR="00F40EAB" w:rsidRPr="00F40EAB" w14:paraId="6B84623D" w14:textId="77777777" w:rsidTr="00800363">
        <w:trPr>
          <w:trHeight w:val="454"/>
          <w:jc w:val="center"/>
        </w:trPr>
        <w:tc>
          <w:tcPr>
            <w:tcW w:w="1983" w:type="dxa"/>
            <w:tcBorders>
              <w:top w:val="single" w:sz="4" w:space="0" w:color="000000"/>
              <w:bottom w:val="single" w:sz="4" w:space="0" w:color="000000"/>
            </w:tcBorders>
            <w:tcMar>
              <w:top w:w="0" w:type="dxa"/>
              <w:left w:w="108" w:type="dxa"/>
              <w:bottom w:w="0" w:type="dxa"/>
              <w:right w:w="108" w:type="dxa"/>
            </w:tcMar>
            <w:vAlign w:val="center"/>
            <w:hideMark/>
          </w:tcPr>
          <w:p w14:paraId="0C5C23E9" w14:textId="77777777"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b/>
                <w:bCs/>
                <w:sz w:val="18"/>
                <w:szCs w:val="18"/>
              </w:rPr>
              <w:t>Ciclo (grados)</w:t>
            </w:r>
          </w:p>
        </w:tc>
        <w:tc>
          <w:tcPr>
            <w:tcW w:w="869" w:type="dxa"/>
            <w:tcBorders>
              <w:top w:val="single" w:sz="4" w:space="0" w:color="000000"/>
              <w:bottom w:val="single" w:sz="4" w:space="0" w:color="000000"/>
            </w:tcBorders>
            <w:tcMar>
              <w:top w:w="0" w:type="dxa"/>
              <w:left w:w="108" w:type="dxa"/>
              <w:bottom w:w="0" w:type="dxa"/>
              <w:right w:w="108" w:type="dxa"/>
            </w:tcMar>
            <w:vAlign w:val="center"/>
            <w:hideMark/>
          </w:tcPr>
          <w:p w14:paraId="45DA5D70" w14:textId="0A36BDCC" w:rsidR="00225C29" w:rsidRPr="00F40EAB" w:rsidRDefault="00225C29">
            <w:pPr>
              <w:pStyle w:val="NormalWeb"/>
              <w:spacing w:before="60" w:beforeAutospacing="0" w:after="60" w:afterAutospacing="0"/>
              <w:jc w:val="center"/>
              <w:rPr>
                <w:rFonts w:ascii="Arial" w:hAnsi="Arial" w:cs="Arial"/>
                <w:sz w:val="20"/>
                <w:szCs w:val="20"/>
              </w:rPr>
            </w:pPr>
            <m:oMathPara>
              <m:oMath>
                <m:r>
                  <w:rPr>
                    <w:rFonts w:ascii="Cambria Math" w:hAnsi="Cambria Math" w:cs="Arial"/>
                    <w:sz w:val="20"/>
                    <w:szCs w:val="20"/>
                  </w:rPr>
                  <m:t>n</m:t>
                </m:r>
              </m:oMath>
            </m:oMathPara>
          </w:p>
        </w:tc>
        <w:tc>
          <w:tcPr>
            <w:tcW w:w="870" w:type="dxa"/>
            <w:tcBorders>
              <w:top w:val="single" w:sz="4" w:space="0" w:color="000000"/>
              <w:bottom w:val="single" w:sz="4" w:space="0" w:color="000000"/>
            </w:tcBorders>
            <w:tcMar>
              <w:top w:w="0" w:type="dxa"/>
              <w:left w:w="108" w:type="dxa"/>
              <w:bottom w:w="0" w:type="dxa"/>
              <w:right w:w="108" w:type="dxa"/>
            </w:tcMar>
            <w:vAlign w:val="center"/>
            <w:hideMark/>
          </w:tcPr>
          <w:p w14:paraId="653F6994" w14:textId="218C487E" w:rsidR="00225C29" w:rsidRPr="00F40EAB" w:rsidRDefault="00225C29">
            <w:pPr>
              <w:pStyle w:val="NormalWeb"/>
              <w:spacing w:before="60" w:beforeAutospacing="0" w:after="60" w:afterAutospacing="0"/>
              <w:jc w:val="center"/>
              <w:rPr>
                <w:rFonts w:ascii="Arial" w:hAnsi="Arial" w:cs="Arial"/>
                <w:sz w:val="20"/>
                <w:szCs w:val="20"/>
              </w:rPr>
            </w:pPr>
            <m:oMathPara>
              <m:oMath>
                <m:r>
                  <w:rPr>
                    <w:rFonts w:ascii="Cambria Math" w:hAnsi="Cambria Math" w:cs="Arial"/>
                    <w:sz w:val="20"/>
                    <w:szCs w:val="20"/>
                  </w:rPr>
                  <m:t>M</m:t>
                </m:r>
              </m:oMath>
            </m:oMathPara>
          </w:p>
        </w:tc>
        <w:tc>
          <w:tcPr>
            <w:tcW w:w="870" w:type="dxa"/>
            <w:tcBorders>
              <w:top w:val="single" w:sz="4" w:space="0" w:color="000000"/>
              <w:bottom w:val="single" w:sz="4" w:space="0" w:color="000000"/>
            </w:tcBorders>
            <w:tcMar>
              <w:top w:w="0" w:type="dxa"/>
              <w:left w:w="108" w:type="dxa"/>
              <w:bottom w:w="0" w:type="dxa"/>
              <w:right w:w="108" w:type="dxa"/>
            </w:tcMar>
            <w:vAlign w:val="center"/>
            <w:hideMark/>
          </w:tcPr>
          <w:p w14:paraId="4CC22F14" w14:textId="10C75ECC" w:rsidR="00225C29" w:rsidRPr="00F40EAB" w:rsidRDefault="00225C29">
            <w:pPr>
              <w:pStyle w:val="NormalWeb"/>
              <w:spacing w:before="60" w:beforeAutospacing="0" w:after="60" w:afterAutospacing="0"/>
              <w:jc w:val="center"/>
              <w:rPr>
                <w:rFonts w:ascii="Arial" w:hAnsi="Arial" w:cs="Arial"/>
                <w:sz w:val="20"/>
                <w:szCs w:val="20"/>
              </w:rPr>
            </w:pPr>
            <m:oMathPara>
              <m:oMath>
                <m:r>
                  <w:rPr>
                    <w:rFonts w:ascii="Cambria Math" w:hAnsi="Cambria Math" w:cs="Arial"/>
                    <w:sz w:val="20"/>
                    <w:szCs w:val="20"/>
                  </w:rPr>
                  <m:t>DE</m:t>
                </m:r>
              </m:oMath>
            </m:oMathPara>
          </w:p>
        </w:tc>
        <w:tc>
          <w:tcPr>
            <w:tcW w:w="511" w:type="dxa"/>
            <w:tcBorders>
              <w:top w:val="single" w:sz="4" w:space="0" w:color="000000"/>
              <w:bottom w:val="single" w:sz="4" w:space="0" w:color="000000"/>
            </w:tcBorders>
            <w:tcMar>
              <w:top w:w="0" w:type="dxa"/>
              <w:left w:w="108" w:type="dxa"/>
              <w:bottom w:w="0" w:type="dxa"/>
              <w:right w:w="108" w:type="dxa"/>
            </w:tcMar>
            <w:vAlign w:val="center"/>
            <w:hideMark/>
          </w:tcPr>
          <w:p w14:paraId="5094E3B6" w14:textId="77777777" w:rsidR="00225C29" w:rsidRPr="00F40EAB" w:rsidRDefault="00225C29">
            <w:pPr>
              <w:pStyle w:val="NormalWeb"/>
              <w:spacing w:before="60" w:beforeAutospacing="0" w:after="60" w:afterAutospacing="0"/>
              <w:jc w:val="center"/>
              <w:rPr>
                <w:rFonts w:ascii="Arial" w:hAnsi="Arial" w:cs="Arial"/>
                <w:sz w:val="20"/>
                <w:szCs w:val="20"/>
              </w:rPr>
            </w:pPr>
            <w:r w:rsidRPr="00F40EAB">
              <w:rPr>
                <w:rFonts w:ascii="Arial" w:hAnsi="Arial" w:cs="Arial"/>
                <w:b/>
                <w:bCs/>
                <w:sz w:val="20"/>
                <w:szCs w:val="20"/>
              </w:rPr>
              <w:t>Dif.</w:t>
            </w:r>
          </w:p>
        </w:tc>
        <w:tc>
          <w:tcPr>
            <w:tcW w:w="1230" w:type="dxa"/>
            <w:tcBorders>
              <w:top w:val="single" w:sz="4" w:space="0" w:color="000000"/>
              <w:bottom w:val="single" w:sz="4" w:space="0" w:color="000000"/>
            </w:tcBorders>
            <w:tcMar>
              <w:top w:w="0" w:type="dxa"/>
              <w:left w:w="108" w:type="dxa"/>
              <w:bottom w:w="0" w:type="dxa"/>
              <w:right w:w="108" w:type="dxa"/>
            </w:tcMar>
            <w:vAlign w:val="center"/>
            <w:hideMark/>
          </w:tcPr>
          <w:p w14:paraId="7AF0A7F6" w14:textId="739F2FDE" w:rsidR="00225C29" w:rsidRPr="00F40EAB" w:rsidRDefault="00225C29">
            <w:pPr>
              <w:pStyle w:val="NormalWeb"/>
              <w:spacing w:before="60" w:beforeAutospacing="0" w:after="60" w:afterAutospacing="0"/>
              <w:jc w:val="center"/>
              <w:rPr>
                <w:rFonts w:ascii="Arial" w:hAnsi="Arial" w:cs="Arial"/>
                <w:sz w:val="20"/>
                <w:szCs w:val="20"/>
              </w:rPr>
            </w:pPr>
            <m:oMathPara>
              <m:oMath>
                <m:r>
                  <w:rPr>
                    <w:rFonts w:ascii="Cambria Math" w:hAnsi="Cambria Math" w:cs="Arial"/>
                    <w:sz w:val="20"/>
                    <w:szCs w:val="20"/>
                  </w:rPr>
                  <m:t>t (gl)</m:t>
                </m:r>
              </m:oMath>
            </m:oMathPara>
          </w:p>
        </w:tc>
        <w:tc>
          <w:tcPr>
            <w:tcW w:w="871" w:type="dxa"/>
            <w:tcBorders>
              <w:top w:val="single" w:sz="4" w:space="0" w:color="000000"/>
              <w:bottom w:val="single" w:sz="4" w:space="0" w:color="000000"/>
            </w:tcBorders>
            <w:tcMar>
              <w:top w:w="0" w:type="dxa"/>
              <w:left w:w="108" w:type="dxa"/>
              <w:bottom w:w="0" w:type="dxa"/>
              <w:right w:w="108" w:type="dxa"/>
            </w:tcMar>
            <w:vAlign w:val="center"/>
            <w:hideMark/>
          </w:tcPr>
          <w:p w14:paraId="7D688951" w14:textId="4DB15E2D" w:rsidR="00225C29" w:rsidRPr="00F40EAB" w:rsidRDefault="00225C29">
            <w:pPr>
              <w:pStyle w:val="NormalWeb"/>
              <w:spacing w:before="60" w:beforeAutospacing="0" w:after="60" w:afterAutospacing="0"/>
              <w:jc w:val="center"/>
              <w:rPr>
                <w:rFonts w:ascii="Arial" w:hAnsi="Arial" w:cs="Arial"/>
                <w:sz w:val="20"/>
                <w:szCs w:val="20"/>
              </w:rPr>
            </w:pPr>
            <m:oMathPara>
              <m:oMath>
                <m:r>
                  <w:rPr>
                    <w:rFonts w:ascii="Cambria Math" w:hAnsi="Cambria Math" w:cs="Arial"/>
                    <w:sz w:val="20"/>
                    <w:szCs w:val="20"/>
                  </w:rPr>
                  <m:t>p</m:t>
                </m:r>
              </m:oMath>
            </m:oMathPara>
          </w:p>
        </w:tc>
        <w:tc>
          <w:tcPr>
            <w:tcW w:w="1160" w:type="dxa"/>
            <w:tcBorders>
              <w:top w:val="single" w:sz="4" w:space="0" w:color="000000"/>
              <w:bottom w:val="single" w:sz="4" w:space="0" w:color="000000"/>
            </w:tcBorders>
            <w:tcMar>
              <w:top w:w="0" w:type="dxa"/>
              <w:left w:w="108" w:type="dxa"/>
              <w:bottom w:w="0" w:type="dxa"/>
              <w:right w:w="108" w:type="dxa"/>
            </w:tcMar>
            <w:vAlign w:val="center"/>
            <w:hideMark/>
          </w:tcPr>
          <w:p w14:paraId="2E68D97E" w14:textId="6F3F6D7D" w:rsidR="00225C29" w:rsidRPr="00F40EAB" w:rsidRDefault="00225C29" w:rsidP="00225C29">
            <w:pPr>
              <w:pStyle w:val="NormalWeb"/>
              <w:spacing w:before="60" w:beforeAutospacing="0" w:after="60" w:afterAutospacing="0"/>
              <w:jc w:val="center"/>
              <w:rPr>
                <w:rFonts w:ascii="Arial" w:hAnsi="Arial" w:cs="Arial"/>
                <w:i/>
                <w:sz w:val="20"/>
                <w:szCs w:val="20"/>
              </w:rPr>
            </w:pPr>
            <m:oMathPara>
              <m:oMath>
                <m:r>
                  <w:rPr>
                    <w:rFonts w:ascii="Cambria Math" w:hAnsi="Cambria Math" w:cs="Arial"/>
                    <w:sz w:val="20"/>
                    <w:szCs w:val="20"/>
                  </w:rPr>
                  <m:t xml:space="preserve">IC 95 % </m:t>
                </m:r>
              </m:oMath>
            </m:oMathPara>
          </w:p>
        </w:tc>
        <w:tc>
          <w:tcPr>
            <w:tcW w:w="663" w:type="dxa"/>
            <w:tcBorders>
              <w:top w:val="single" w:sz="4" w:space="0" w:color="000000"/>
              <w:bottom w:val="single" w:sz="4" w:space="0" w:color="000000"/>
            </w:tcBorders>
            <w:tcMar>
              <w:top w:w="0" w:type="dxa"/>
              <w:left w:w="108" w:type="dxa"/>
              <w:bottom w:w="0" w:type="dxa"/>
              <w:right w:w="108" w:type="dxa"/>
            </w:tcMar>
            <w:vAlign w:val="center"/>
            <w:hideMark/>
          </w:tcPr>
          <w:p w14:paraId="076C945D" w14:textId="6F35B045" w:rsidR="00225C29" w:rsidRPr="00F40EAB" w:rsidRDefault="00225C29">
            <w:pPr>
              <w:pStyle w:val="NormalWeb"/>
              <w:spacing w:before="60" w:beforeAutospacing="0" w:after="60" w:afterAutospacing="0"/>
              <w:jc w:val="center"/>
              <w:rPr>
                <w:rFonts w:ascii="Arial" w:hAnsi="Arial" w:cs="Arial"/>
                <w:sz w:val="20"/>
                <w:szCs w:val="20"/>
              </w:rPr>
            </w:pPr>
            <m:oMathPara>
              <m:oMath>
                <m:r>
                  <w:rPr>
                    <w:rFonts w:ascii="Cambria Math" w:hAnsi="Cambria Math" w:cs="Arial"/>
                    <w:sz w:val="20"/>
                    <w:szCs w:val="20"/>
                  </w:rPr>
                  <m:t>g</m:t>
                </m:r>
              </m:oMath>
            </m:oMathPara>
          </w:p>
        </w:tc>
      </w:tr>
      <w:tr w:rsidR="00F40EAB" w:rsidRPr="00F40EAB" w14:paraId="2EAAD8B4" w14:textId="77777777" w:rsidTr="00800363">
        <w:trPr>
          <w:trHeight w:val="454"/>
          <w:jc w:val="center"/>
        </w:trPr>
        <w:tc>
          <w:tcPr>
            <w:tcW w:w="1983" w:type="dxa"/>
            <w:tcBorders>
              <w:top w:val="single" w:sz="4" w:space="0" w:color="000000"/>
            </w:tcBorders>
            <w:tcMar>
              <w:top w:w="0" w:type="dxa"/>
              <w:left w:w="108" w:type="dxa"/>
              <w:bottom w:w="0" w:type="dxa"/>
              <w:right w:w="108" w:type="dxa"/>
            </w:tcMar>
            <w:vAlign w:val="center"/>
            <w:hideMark/>
          </w:tcPr>
          <w:p w14:paraId="50B9AFAD" w14:textId="77777777" w:rsidR="00225C29" w:rsidRPr="00F40EAB" w:rsidRDefault="00225C29">
            <w:pPr>
              <w:pStyle w:val="NormalWeb"/>
              <w:spacing w:before="60" w:beforeAutospacing="0" w:after="60" w:afterAutospacing="0"/>
              <w:rPr>
                <w:rFonts w:ascii="Arial" w:hAnsi="Arial" w:cs="Arial"/>
              </w:rPr>
            </w:pPr>
            <w:r w:rsidRPr="00F40EAB">
              <w:rPr>
                <w:rFonts w:ascii="Arial" w:hAnsi="Arial" w:cs="Arial"/>
                <w:sz w:val="18"/>
                <w:szCs w:val="18"/>
              </w:rPr>
              <w:t>2024-2025 (1.º a 5.º)</w:t>
            </w:r>
          </w:p>
        </w:tc>
        <w:tc>
          <w:tcPr>
            <w:tcW w:w="869" w:type="dxa"/>
            <w:tcBorders>
              <w:top w:val="single" w:sz="4" w:space="0" w:color="000000"/>
            </w:tcBorders>
            <w:tcMar>
              <w:top w:w="0" w:type="dxa"/>
              <w:left w:w="108" w:type="dxa"/>
              <w:bottom w:w="0" w:type="dxa"/>
              <w:right w:w="108" w:type="dxa"/>
            </w:tcMar>
            <w:vAlign w:val="center"/>
            <w:hideMark/>
          </w:tcPr>
          <w:p w14:paraId="7E9560E0" w14:textId="4B12E94C"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sz w:val="18"/>
                <w:szCs w:val="18"/>
              </w:rPr>
              <w:t>14</w:t>
            </w:r>
            <w:r w:rsidR="00360102" w:rsidRPr="00F40EAB">
              <w:rPr>
                <w:rFonts w:ascii="Arial" w:hAnsi="Arial" w:cs="Arial"/>
                <w:sz w:val="18"/>
                <w:szCs w:val="18"/>
              </w:rPr>
              <w:t>5</w:t>
            </w:r>
          </w:p>
        </w:tc>
        <w:tc>
          <w:tcPr>
            <w:tcW w:w="870" w:type="dxa"/>
            <w:tcBorders>
              <w:top w:val="single" w:sz="4" w:space="0" w:color="000000"/>
            </w:tcBorders>
            <w:tcMar>
              <w:top w:w="0" w:type="dxa"/>
              <w:left w:w="108" w:type="dxa"/>
              <w:bottom w:w="0" w:type="dxa"/>
              <w:right w:w="108" w:type="dxa"/>
            </w:tcMar>
            <w:vAlign w:val="center"/>
            <w:hideMark/>
          </w:tcPr>
          <w:p w14:paraId="43B27A32" w14:textId="4CBDF198"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sz w:val="18"/>
                <w:szCs w:val="18"/>
              </w:rPr>
              <w:t>8.0</w:t>
            </w:r>
            <w:r w:rsidR="00360102" w:rsidRPr="00F40EAB">
              <w:rPr>
                <w:rFonts w:ascii="Arial" w:hAnsi="Arial" w:cs="Arial"/>
                <w:sz w:val="18"/>
                <w:szCs w:val="18"/>
              </w:rPr>
              <w:t>5</w:t>
            </w:r>
          </w:p>
        </w:tc>
        <w:tc>
          <w:tcPr>
            <w:tcW w:w="870" w:type="dxa"/>
            <w:tcBorders>
              <w:top w:val="single" w:sz="4" w:space="0" w:color="000000"/>
            </w:tcBorders>
            <w:tcMar>
              <w:top w:w="0" w:type="dxa"/>
              <w:left w:w="108" w:type="dxa"/>
              <w:bottom w:w="0" w:type="dxa"/>
              <w:right w:w="108" w:type="dxa"/>
            </w:tcMar>
            <w:vAlign w:val="center"/>
            <w:hideMark/>
          </w:tcPr>
          <w:p w14:paraId="31069D91" w14:textId="77777777"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sz w:val="18"/>
                <w:szCs w:val="18"/>
              </w:rPr>
              <w:t>1.03</w:t>
            </w:r>
          </w:p>
        </w:tc>
        <w:tc>
          <w:tcPr>
            <w:tcW w:w="511" w:type="dxa"/>
            <w:tcBorders>
              <w:top w:val="single" w:sz="4" w:space="0" w:color="000000"/>
            </w:tcBorders>
            <w:tcMar>
              <w:top w:w="0" w:type="dxa"/>
              <w:left w:w="108" w:type="dxa"/>
              <w:bottom w:w="0" w:type="dxa"/>
              <w:right w:w="108" w:type="dxa"/>
            </w:tcMar>
            <w:vAlign w:val="center"/>
            <w:hideMark/>
          </w:tcPr>
          <w:p w14:paraId="65D78F80" w14:textId="0B01721E"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sz w:val="18"/>
                <w:szCs w:val="18"/>
              </w:rPr>
              <w:t>0.4</w:t>
            </w:r>
            <w:r w:rsidR="00360102" w:rsidRPr="00F40EAB">
              <w:rPr>
                <w:rFonts w:ascii="Arial" w:hAnsi="Arial" w:cs="Arial"/>
                <w:sz w:val="18"/>
                <w:szCs w:val="18"/>
              </w:rPr>
              <w:t>1</w:t>
            </w:r>
          </w:p>
        </w:tc>
        <w:tc>
          <w:tcPr>
            <w:tcW w:w="1230" w:type="dxa"/>
            <w:tcBorders>
              <w:top w:val="single" w:sz="4" w:space="0" w:color="000000"/>
            </w:tcBorders>
            <w:tcMar>
              <w:top w:w="0" w:type="dxa"/>
              <w:left w:w="108" w:type="dxa"/>
              <w:bottom w:w="0" w:type="dxa"/>
              <w:right w:w="108" w:type="dxa"/>
            </w:tcMar>
            <w:vAlign w:val="center"/>
            <w:hideMark/>
          </w:tcPr>
          <w:p w14:paraId="19A91AD0" w14:textId="19BCB577"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sz w:val="18"/>
                <w:szCs w:val="18"/>
              </w:rPr>
              <w:t>3.5</w:t>
            </w:r>
            <w:r w:rsidR="00360102" w:rsidRPr="00F40EAB">
              <w:rPr>
                <w:rFonts w:ascii="Arial" w:hAnsi="Arial" w:cs="Arial"/>
                <w:sz w:val="18"/>
                <w:szCs w:val="18"/>
              </w:rPr>
              <w:t>3</w:t>
            </w:r>
            <w:r w:rsidRPr="00F40EAB">
              <w:rPr>
                <w:rFonts w:ascii="Arial" w:hAnsi="Arial" w:cs="Arial"/>
                <w:sz w:val="18"/>
                <w:szCs w:val="18"/>
              </w:rPr>
              <w:t xml:space="preserve"> (28</w:t>
            </w:r>
            <w:r w:rsidR="00360102" w:rsidRPr="00F40EAB">
              <w:rPr>
                <w:rFonts w:ascii="Arial" w:hAnsi="Arial" w:cs="Arial"/>
                <w:sz w:val="18"/>
                <w:szCs w:val="18"/>
              </w:rPr>
              <w:t>6</w:t>
            </w:r>
            <w:r w:rsidRPr="00F40EAB">
              <w:rPr>
                <w:rFonts w:ascii="Arial" w:hAnsi="Arial" w:cs="Arial"/>
                <w:sz w:val="18"/>
                <w:szCs w:val="18"/>
              </w:rPr>
              <w:t>.</w:t>
            </w:r>
            <w:r w:rsidR="00360102" w:rsidRPr="00F40EAB">
              <w:rPr>
                <w:rFonts w:ascii="Arial" w:hAnsi="Arial" w:cs="Arial"/>
                <w:sz w:val="18"/>
                <w:szCs w:val="18"/>
              </w:rPr>
              <w:t>5</w:t>
            </w:r>
            <w:r w:rsidRPr="00F40EAB">
              <w:rPr>
                <w:rFonts w:ascii="Arial" w:hAnsi="Arial" w:cs="Arial"/>
                <w:sz w:val="18"/>
                <w:szCs w:val="18"/>
              </w:rPr>
              <w:t>)</w:t>
            </w:r>
          </w:p>
        </w:tc>
        <w:tc>
          <w:tcPr>
            <w:tcW w:w="871" w:type="dxa"/>
            <w:tcBorders>
              <w:top w:val="single" w:sz="4" w:space="0" w:color="000000"/>
            </w:tcBorders>
            <w:tcMar>
              <w:top w:w="0" w:type="dxa"/>
              <w:left w:w="108" w:type="dxa"/>
              <w:bottom w:w="0" w:type="dxa"/>
              <w:right w:w="108" w:type="dxa"/>
            </w:tcMar>
            <w:vAlign w:val="center"/>
            <w:hideMark/>
          </w:tcPr>
          <w:p w14:paraId="077653F7" w14:textId="77777777"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sz w:val="18"/>
                <w:szCs w:val="18"/>
              </w:rPr>
              <w:t>&lt; 0.001</w:t>
            </w:r>
          </w:p>
        </w:tc>
        <w:tc>
          <w:tcPr>
            <w:tcW w:w="1160" w:type="dxa"/>
            <w:tcBorders>
              <w:top w:val="single" w:sz="4" w:space="0" w:color="000000"/>
            </w:tcBorders>
            <w:tcMar>
              <w:top w:w="0" w:type="dxa"/>
              <w:left w:w="108" w:type="dxa"/>
              <w:bottom w:w="0" w:type="dxa"/>
              <w:right w:w="108" w:type="dxa"/>
            </w:tcMar>
            <w:vAlign w:val="center"/>
            <w:hideMark/>
          </w:tcPr>
          <w:p w14:paraId="617FD942" w14:textId="3647707D"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sz w:val="18"/>
                <w:szCs w:val="18"/>
              </w:rPr>
              <w:t>[0.1</w:t>
            </w:r>
            <w:r w:rsidR="00360102" w:rsidRPr="00F40EAB">
              <w:rPr>
                <w:rFonts w:ascii="Arial" w:hAnsi="Arial" w:cs="Arial"/>
                <w:sz w:val="18"/>
                <w:szCs w:val="18"/>
              </w:rPr>
              <w:t>8</w:t>
            </w:r>
            <w:r w:rsidRPr="00F40EAB">
              <w:rPr>
                <w:rFonts w:ascii="Arial" w:hAnsi="Arial" w:cs="Arial"/>
                <w:sz w:val="18"/>
                <w:szCs w:val="18"/>
              </w:rPr>
              <w:t>, 0.6</w:t>
            </w:r>
            <w:r w:rsidR="00360102" w:rsidRPr="00F40EAB">
              <w:rPr>
                <w:rFonts w:ascii="Arial" w:hAnsi="Arial" w:cs="Arial"/>
                <w:sz w:val="18"/>
                <w:szCs w:val="18"/>
              </w:rPr>
              <w:t>4</w:t>
            </w:r>
            <w:r w:rsidRPr="00F40EAB">
              <w:rPr>
                <w:rFonts w:ascii="Arial" w:hAnsi="Arial" w:cs="Arial"/>
                <w:sz w:val="18"/>
                <w:szCs w:val="18"/>
              </w:rPr>
              <w:t>]</w:t>
            </w:r>
          </w:p>
        </w:tc>
        <w:tc>
          <w:tcPr>
            <w:tcW w:w="663" w:type="dxa"/>
            <w:tcBorders>
              <w:top w:val="single" w:sz="4" w:space="0" w:color="000000"/>
            </w:tcBorders>
            <w:tcMar>
              <w:top w:w="0" w:type="dxa"/>
              <w:left w:w="108" w:type="dxa"/>
              <w:bottom w:w="0" w:type="dxa"/>
              <w:right w:w="108" w:type="dxa"/>
            </w:tcMar>
            <w:vAlign w:val="center"/>
            <w:hideMark/>
          </w:tcPr>
          <w:p w14:paraId="00BEB177" w14:textId="0D586942"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sz w:val="18"/>
                <w:szCs w:val="18"/>
              </w:rPr>
              <w:t>0.4</w:t>
            </w:r>
            <w:r w:rsidR="00360102" w:rsidRPr="00F40EAB">
              <w:rPr>
                <w:rFonts w:ascii="Arial" w:hAnsi="Arial" w:cs="Arial"/>
                <w:sz w:val="18"/>
                <w:szCs w:val="18"/>
              </w:rPr>
              <w:t>1</w:t>
            </w:r>
          </w:p>
        </w:tc>
      </w:tr>
      <w:tr w:rsidR="00F40EAB" w:rsidRPr="00F40EAB" w14:paraId="46399CD3" w14:textId="77777777" w:rsidTr="00800363">
        <w:trPr>
          <w:trHeight w:val="454"/>
          <w:jc w:val="center"/>
        </w:trPr>
        <w:tc>
          <w:tcPr>
            <w:tcW w:w="1983" w:type="dxa"/>
            <w:tcBorders>
              <w:bottom w:val="single" w:sz="4" w:space="0" w:color="000000"/>
            </w:tcBorders>
            <w:tcMar>
              <w:top w:w="0" w:type="dxa"/>
              <w:left w:w="108" w:type="dxa"/>
              <w:bottom w:w="0" w:type="dxa"/>
              <w:right w:w="108" w:type="dxa"/>
            </w:tcMar>
            <w:vAlign w:val="center"/>
            <w:hideMark/>
          </w:tcPr>
          <w:p w14:paraId="6B484D40" w14:textId="77777777" w:rsidR="00225C29" w:rsidRPr="00F40EAB" w:rsidRDefault="00225C29">
            <w:pPr>
              <w:pStyle w:val="NormalWeb"/>
              <w:spacing w:before="60" w:beforeAutospacing="0" w:after="60" w:afterAutospacing="0"/>
              <w:rPr>
                <w:rFonts w:ascii="Arial" w:hAnsi="Arial" w:cs="Arial"/>
              </w:rPr>
            </w:pPr>
            <w:r w:rsidRPr="00F40EAB">
              <w:rPr>
                <w:rFonts w:ascii="Arial" w:hAnsi="Arial" w:cs="Arial"/>
                <w:sz w:val="18"/>
                <w:szCs w:val="18"/>
              </w:rPr>
              <w:t>2025-2026 (2.º a 6.º)</w:t>
            </w:r>
          </w:p>
        </w:tc>
        <w:tc>
          <w:tcPr>
            <w:tcW w:w="869" w:type="dxa"/>
            <w:tcBorders>
              <w:bottom w:val="single" w:sz="4" w:space="0" w:color="000000"/>
            </w:tcBorders>
            <w:tcMar>
              <w:top w:w="0" w:type="dxa"/>
              <w:left w:w="108" w:type="dxa"/>
              <w:bottom w:w="0" w:type="dxa"/>
              <w:right w:w="108" w:type="dxa"/>
            </w:tcMar>
            <w:vAlign w:val="center"/>
            <w:hideMark/>
          </w:tcPr>
          <w:p w14:paraId="4FC8901D" w14:textId="77777777"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sz w:val="18"/>
                <w:szCs w:val="18"/>
              </w:rPr>
              <w:t>145</w:t>
            </w:r>
          </w:p>
        </w:tc>
        <w:tc>
          <w:tcPr>
            <w:tcW w:w="870" w:type="dxa"/>
            <w:tcBorders>
              <w:bottom w:val="single" w:sz="4" w:space="0" w:color="000000"/>
            </w:tcBorders>
            <w:tcMar>
              <w:top w:w="0" w:type="dxa"/>
              <w:left w:w="108" w:type="dxa"/>
              <w:bottom w:w="0" w:type="dxa"/>
              <w:right w:w="108" w:type="dxa"/>
            </w:tcMar>
            <w:vAlign w:val="center"/>
            <w:hideMark/>
          </w:tcPr>
          <w:p w14:paraId="5C4D945B" w14:textId="77777777"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sz w:val="18"/>
                <w:szCs w:val="18"/>
              </w:rPr>
              <w:t>7.64</w:t>
            </w:r>
          </w:p>
        </w:tc>
        <w:tc>
          <w:tcPr>
            <w:tcW w:w="870" w:type="dxa"/>
            <w:tcBorders>
              <w:bottom w:val="single" w:sz="4" w:space="0" w:color="000000"/>
            </w:tcBorders>
            <w:tcMar>
              <w:top w:w="0" w:type="dxa"/>
              <w:left w:w="108" w:type="dxa"/>
              <w:bottom w:w="0" w:type="dxa"/>
              <w:right w:w="108" w:type="dxa"/>
            </w:tcMar>
            <w:vAlign w:val="center"/>
            <w:hideMark/>
          </w:tcPr>
          <w:p w14:paraId="27414F83" w14:textId="77777777" w:rsidR="00225C29" w:rsidRPr="00F40EAB" w:rsidRDefault="00225C29">
            <w:pPr>
              <w:pStyle w:val="NormalWeb"/>
              <w:spacing w:before="60" w:beforeAutospacing="0" w:after="60" w:afterAutospacing="0"/>
              <w:jc w:val="center"/>
              <w:rPr>
                <w:rFonts w:ascii="Arial" w:hAnsi="Arial" w:cs="Arial"/>
              </w:rPr>
            </w:pPr>
            <w:r w:rsidRPr="00F40EAB">
              <w:rPr>
                <w:rFonts w:ascii="Arial" w:hAnsi="Arial" w:cs="Arial"/>
                <w:sz w:val="18"/>
                <w:szCs w:val="18"/>
              </w:rPr>
              <w:t>0.96</w:t>
            </w:r>
          </w:p>
        </w:tc>
        <w:tc>
          <w:tcPr>
            <w:tcW w:w="511" w:type="dxa"/>
            <w:tcBorders>
              <w:bottom w:val="single" w:sz="4" w:space="0" w:color="000000"/>
            </w:tcBorders>
            <w:tcMar>
              <w:top w:w="0" w:type="dxa"/>
              <w:left w:w="108" w:type="dxa"/>
              <w:bottom w:w="0" w:type="dxa"/>
              <w:right w:w="108" w:type="dxa"/>
            </w:tcMar>
            <w:vAlign w:val="center"/>
            <w:hideMark/>
          </w:tcPr>
          <w:p w14:paraId="0F941003" w14:textId="77777777" w:rsidR="00225C29" w:rsidRPr="00F40EAB" w:rsidRDefault="00225C29">
            <w:pPr>
              <w:rPr>
                <w:rFonts w:ascii="Arial" w:hAnsi="Arial" w:cs="Arial"/>
              </w:rPr>
            </w:pPr>
          </w:p>
        </w:tc>
        <w:tc>
          <w:tcPr>
            <w:tcW w:w="1230" w:type="dxa"/>
            <w:tcBorders>
              <w:bottom w:val="single" w:sz="4" w:space="0" w:color="000000"/>
            </w:tcBorders>
            <w:tcMar>
              <w:top w:w="0" w:type="dxa"/>
              <w:left w:w="108" w:type="dxa"/>
              <w:bottom w:w="0" w:type="dxa"/>
              <w:right w:w="108" w:type="dxa"/>
            </w:tcMar>
            <w:vAlign w:val="center"/>
            <w:hideMark/>
          </w:tcPr>
          <w:p w14:paraId="3E36F824" w14:textId="77777777" w:rsidR="00225C29" w:rsidRPr="00F40EAB" w:rsidRDefault="00225C29">
            <w:pPr>
              <w:rPr>
                <w:rFonts w:ascii="Arial" w:hAnsi="Arial" w:cs="Arial"/>
              </w:rPr>
            </w:pPr>
          </w:p>
        </w:tc>
        <w:tc>
          <w:tcPr>
            <w:tcW w:w="871" w:type="dxa"/>
            <w:tcBorders>
              <w:bottom w:val="single" w:sz="4" w:space="0" w:color="000000"/>
            </w:tcBorders>
            <w:tcMar>
              <w:top w:w="0" w:type="dxa"/>
              <w:left w:w="108" w:type="dxa"/>
              <w:bottom w:w="0" w:type="dxa"/>
              <w:right w:w="108" w:type="dxa"/>
            </w:tcMar>
            <w:vAlign w:val="center"/>
            <w:hideMark/>
          </w:tcPr>
          <w:p w14:paraId="5DDA47A1" w14:textId="77777777" w:rsidR="00225C29" w:rsidRPr="00F40EAB" w:rsidRDefault="00225C29">
            <w:pPr>
              <w:rPr>
                <w:rFonts w:ascii="Arial" w:hAnsi="Arial" w:cs="Arial"/>
              </w:rPr>
            </w:pPr>
          </w:p>
        </w:tc>
        <w:tc>
          <w:tcPr>
            <w:tcW w:w="1160" w:type="dxa"/>
            <w:tcBorders>
              <w:bottom w:val="single" w:sz="4" w:space="0" w:color="000000"/>
            </w:tcBorders>
            <w:tcMar>
              <w:top w:w="0" w:type="dxa"/>
              <w:left w:w="108" w:type="dxa"/>
              <w:bottom w:w="0" w:type="dxa"/>
              <w:right w:w="108" w:type="dxa"/>
            </w:tcMar>
            <w:vAlign w:val="center"/>
            <w:hideMark/>
          </w:tcPr>
          <w:p w14:paraId="19FAE16E" w14:textId="77777777" w:rsidR="00225C29" w:rsidRPr="00F40EAB" w:rsidRDefault="00225C29">
            <w:pPr>
              <w:rPr>
                <w:rFonts w:ascii="Arial" w:hAnsi="Arial" w:cs="Arial"/>
              </w:rPr>
            </w:pPr>
          </w:p>
        </w:tc>
        <w:tc>
          <w:tcPr>
            <w:tcW w:w="663" w:type="dxa"/>
            <w:tcBorders>
              <w:bottom w:val="single" w:sz="4" w:space="0" w:color="000000"/>
            </w:tcBorders>
            <w:tcMar>
              <w:top w:w="0" w:type="dxa"/>
              <w:left w:w="108" w:type="dxa"/>
              <w:bottom w:w="0" w:type="dxa"/>
              <w:right w:w="108" w:type="dxa"/>
            </w:tcMar>
            <w:vAlign w:val="center"/>
            <w:hideMark/>
          </w:tcPr>
          <w:p w14:paraId="48A6E8B1" w14:textId="77777777" w:rsidR="00225C29" w:rsidRPr="00F40EAB" w:rsidRDefault="00225C29">
            <w:pPr>
              <w:rPr>
                <w:rFonts w:ascii="Arial" w:hAnsi="Arial" w:cs="Arial"/>
              </w:rPr>
            </w:pPr>
          </w:p>
        </w:tc>
      </w:tr>
    </w:tbl>
    <w:p w14:paraId="297A1A1D" w14:textId="6DFB4771" w:rsidR="00800363" w:rsidRPr="00F40EAB" w:rsidRDefault="00225C29" w:rsidP="003D0299">
      <w:pPr>
        <w:pStyle w:val="NormalWeb"/>
        <w:spacing w:before="0" w:beforeAutospacing="0" w:after="120" w:afterAutospacing="0"/>
        <w:jc w:val="center"/>
        <w:rPr>
          <w:rFonts w:ascii="Arial" w:hAnsi="Arial" w:cs="Arial"/>
          <w:sz w:val="20"/>
          <w:szCs w:val="20"/>
        </w:rPr>
      </w:pPr>
      <w:r w:rsidRPr="00F40EAB">
        <w:rPr>
          <w:rFonts w:ascii="Arial" w:hAnsi="Arial" w:cs="Arial"/>
          <w:i/>
          <w:iCs/>
          <w:sz w:val="20"/>
          <w:szCs w:val="20"/>
        </w:rPr>
        <w:t xml:space="preserve">Nota. </w:t>
      </w:r>
      <m:oMath>
        <m:r>
          <w:rPr>
            <w:rFonts w:ascii="Cambria Math" w:hAnsi="Cambria Math" w:cs="Arial"/>
            <w:sz w:val="20"/>
            <w:szCs w:val="20"/>
          </w:rPr>
          <m:t>M</m:t>
        </m:r>
      </m:oMath>
      <w:r w:rsidRPr="00F40EAB">
        <w:rPr>
          <w:rFonts w:ascii="Arial" w:hAnsi="Arial" w:cs="Arial"/>
          <w:sz w:val="20"/>
          <w:szCs w:val="20"/>
        </w:rPr>
        <w:t xml:space="preserve"> = media; </w:t>
      </w:r>
      <m:oMath>
        <m:r>
          <w:rPr>
            <w:rFonts w:ascii="Cambria Math" w:hAnsi="Cambria Math" w:cs="Arial"/>
            <w:sz w:val="20"/>
            <w:szCs w:val="20"/>
          </w:rPr>
          <m:t>DE</m:t>
        </m:r>
      </m:oMath>
      <w:r w:rsidRPr="00F40EAB">
        <w:rPr>
          <w:rFonts w:ascii="Arial" w:hAnsi="Arial" w:cs="Arial"/>
          <w:i/>
          <w:iCs/>
          <w:sz w:val="20"/>
          <w:szCs w:val="20"/>
        </w:rPr>
        <w:t xml:space="preserve"> </w:t>
      </w:r>
      <w:r w:rsidRPr="00F40EAB">
        <w:rPr>
          <w:rFonts w:ascii="Arial" w:hAnsi="Arial" w:cs="Arial"/>
          <w:sz w:val="20"/>
          <w:szCs w:val="20"/>
        </w:rPr>
        <w:t xml:space="preserve">= desviación estándar; Dif. = diferencia de medias (2024-2025 menos 2025-2026); </w:t>
      </w:r>
      <m:oMath>
        <m:r>
          <w:rPr>
            <w:rFonts w:ascii="Cambria Math" w:hAnsi="Cambria Math" w:cs="Arial"/>
            <w:sz w:val="20"/>
            <w:szCs w:val="20"/>
          </w:rPr>
          <m:t>gl</m:t>
        </m:r>
      </m:oMath>
      <w:r w:rsidRPr="00F40EAB">
        <w:rPr>
          <w:rFonts w:ascii="Arial" w:hAnsi="Arial" w:cs="Arial"/>
          <w:sz w:val="20"/>
          <w:szCs w:val="20"/>
        </w:rPr>
        <w:t xml:space="preserve"> = grados de libertad con corrección de Welch; IC 95 % = intervalo de confianza del 95 % para la diferencia de medias; </w:t>
      </w:r>
      <w:r w:rsidRPr="00F40EAB">
        <w:rPr>
          <w:rFonts w:ascii="Arial" w:hAnsi="Arial" w:cs="Arial"/>
          <w:i/>
          <w:iCs/>
          <w:sz w:val="20"/>
          <w:szCs w:val="20"/>
        </w:rPr>
        <w:t>g</w:t>
      </w:r>
      <w:r w:rsidRPr="00F40EAB">
        <w:rPr>
          <w:rFonts w:ascii="Arial" w:hAnsi="Arial" w:cs="Arial"/>
          <w:sz w:val="20"/>
          <w:szCs w:val="20"/>
        </w:rPr>
        <w:t xml:space="preserve"> = tamaño del efecto de Hedges. </w:t>
      </w:r>
      <w:r w:rsidR="00B6428F" w:rsidRPr="00F40EAB">
        <w:rPr>
          <w:rFonts w:ascii="Arial" w:hAnsi="Arial" w:cs="Arial"/>
          <w:sz w:val="20"/>
          <w:szCs w:val="20"/>
        </w:rPr>
        <w:t>La prueba U de Mann–Whitney mostró un resultado concordante (p &lt; 0.001). Los resultados inferenciales se presentan con carácter exploratorio y están sujetos a la limitación de independencia señalada en Métodos.</w:t>
      </w:r>
    </w:p>
    <w:p w14:paraId="3E180779" w14:textId="77777777" w:rsidR="00073187" w:rsidRPr="00F40EAB" w:rsidRDefault="00F40EAB">
      <w:pPr>
        <w:spacing w:after="240" w:line="276" w:lineRule="auto"/>
        <w:rPr>
          <w:rFonts w:ascii="Arial" w:hAnsi="Arial" w:cs="Arial"/>
          <w:b/>
          <w:bCs/>
        </w:rPr>
      </w:pPr>
      <w:r w:rsidRPr="00F40EAB">
        <w:rPr>
          <w:rFonts w:ascii="Arial" w:hAnsi="Arial" w:cs="Arial"/>
          <w:b/>
          <w:bCs/>
        </w:rPr>
        <w:t>La fricción entre la innovación y la evaluación numérica</w:t>
      </w:r>
    </w:p>
    <w:p w14:paraId="3AE38E97" w14:textId="627A697F" w:rsidR="00073187" w:rsidRPr="00F40EAB" w:rsidRDefault="00F40EAB" w:rsidP="00800363">
      <w:pPr>
        <w:spacing w:after="240" w:line="276" w:lineRule="auto"/>
        <w:ind w:firstLine="720"/>
        <w:jc w:val="both"/>
        <w:rPr>
          <w:rFonts w:ascii="Arial" w:hAnsi="Arial" w:cs="Arial"/>
        </w:rPr>
      </w:pPr>
      <w:r w:rsidRPr="00F40EAB">
        <w:rPr>
          <w:rFonts w:ascii="Arial" w:hAnsi="Arial" w:cs="Arial"/>
        </w:rPr>
        <w:t>El análisis longitudinal arroja un hallazgo contundente: existe una disminución estadísticamente significativa (</w:t>
      </w:r>
      <m:oMath>
        <m:r>
          <w:rPr>
            <w:rFonts w:ascii="Cambria Math" w:hAnsi="Cambria Math" w:cs="Arial"/>
          </w:rPr>
          <m:t>p &lt; 0.001</m:t>
        </m:r>
      </m:oMath>
      <w:r w:rsidRPr="00F40EAB">
        <w:rPr>
          <w:rFonts w:ascii="Arial" w:hAnsi="Arial" w:cs="Arial"/>
        </w:rPr>
        <w:t xml:space="preserve">) en el promedio general </w:t>
      </w:r>
      <w:r w:rsidR="00800363" w:rsidRPr="00F40EAB">
        <w:rPr>
          <w:rFonts w:ascii="Arial" w:hAnsi="Arial" w:cs="Arial"/>
        </w:rPr>
        <w:t>de las cohortes analizadas, que descendió de 8.0</w:t>
      </w:r>
      <w:r w:rsidR="00360102" w:rsidRPr="00F40EAB">
        <w:rPr>
          <w:rFonts w:ascii="Arial" w:hAnsi="Arial" w:cs="Arial"/>
        </w:rPr>
        <w:t>5</w:t>
      </w:r>
      <w:r w:rsidR="00800363" w:rsidRPr="00F40EAB">
        <w:rPr>
          <w:rFonts w:ascii="Arial" w:hAnsi="Arial" w:cs="Arial"/>
        </w:rPr>
        <w:t xml:space="preserve"> a 7.64 entre ambos ciclos, con un tamaño del efecto pequeño a moderado (</w:t>
      </w:r>
      <m:oMath>
        <m:r>
          <w:rPr>
            <w:rFonts w:ascii="Cambria Math" w:hAnsi="Cambria Math" w:cs="Arial"/>
          </w:rPr>
          <m:t>g = 0.41</m:t>
        </m:r>
      </m:oMath>
      <w:r w:rsidR="00800363" w:rsidRPr="00F40EAB">
        <w:rPr>
          <w:rFonts w:ascii="Arial" w:hAnsi="Arial" w:cs="Arial"/>
        </w:rPr>
        <w:t>). El descenso fue prácticamente idéntico en los cuatro campos formativos (entre 0.40 y 0.43 puntos), pero no fue homogéneo entre cohortes: se concentró en el grupo que transitó de cuarto a quinto grado (de 8.01 a 6.98), mientras que en las demás cohortes las diferencias no fueron estadísticamente significativas.</w:t>
      </w:r>
    </w:p>
    <w:p w14:paraId="46E20455" w14:textId="0765D6FF" w:rsidR="00073187" w:rsidRPr="00F40EAB" w:rsidRDefault="00F40EAB" w:rsidP="00DC0934">
      <w:pPr>
        <w:spacing w:after="240" w:line="276" w:lineRule="auto"/>
        <w:ind w:firstLine="720"/>
        <w:jc w:val="both"/>
        <w:rPr>
          <w:rFonts w:ascii="Arial" w:hAnsi="Arial" w:cs="Arial"/>
        </w:rPr>
      </w:pPr>
      <w:r w:rsidRPr="00F40EAB">
        <w:rPr>
          <w:rFonts w:ascii="Arial" w:hAnsi="Arial" w:cs="Arial"/>
        </w:rPr>
        <w:t xml:space="preserve">Lejos de interpretarse automáticamente como un retroceso en el aprendizaje de los estudiantes, la triangulación de estos datos cuantitativos con las narrativas cualitativas de la dirección y la percepción docente </w:t>
      </w:r>
      <w:r w:rsidR="00800363" w:rsidRPr="00F40EAB">
        <w:rPr>
          <w:rFonts w:ascii="Arial" w:hAnsi="Arial" w:cs="Arial"/>
        </w:rPr>
        <w:t>ofrece una explicación plausible de esta disminución. La caída en las calificaciones puede representar el</w:t>
      </w:r>
      <w:r w:rsidRPr="00F40EAB">
        <w:rPr>
          <w:rFonts w:ascii="Arial" w:hAnsi="Arial" w:cs="Arial"/>
        </w:rPr>
        <w:t xml:space="preserve"> reflejo numérico de la fricción estructural y metodológica que experimenta el centro escolar.</w:t>
      </w:r>
    </w:p>
    <w:p w14:paraId="67CD03AC" w14:textId="4504E8A4" w:rsidR="00073187" w:rsidRPr="00F40EAB" w:rsidRDefault="00800363" w:rsidP="00DC0934">
      <w:pPr>
        <w:spacing w:after="240" w:line="276" w:lineRule="auto"/>
        <w:ind w:firstLine="720"/>
        <w:jc w:val="both"/>
        <w:rPr>
          <w:rFonts w:ascii="Arial" w:hAnsi="Arial" w:cs="Arial"/>
        </w:rPr>
      </w:pPr>
      <w:r w:rsidRPr="00F40EAB">
        <w:rPr>
          <w:rFonts w:ascii="Arial" w:hAnsi="Arial" w:cs="Arial"/>
        </w:rPr>
        <w:t>Como se mostró en los apartados anteriores, la dirección reconoce que los alumnos son ahora más activos y los docentes valoran moderadamente las metodologías activas (</w:t>
      </w:r>
      <m:oMath>
        <m:r>
          <w:rPr>
            <w:rFonts w:ascii="Cambria Math" w:hAnsi="Cambria Math" w:cs="Arial"/>
          </w:rPr>
          <m:t>M = 3.20</m:t>
        </m:r>
      </m:oMath>
      <w:r w:rsidRPr="00F40EAB">
        <w:rPr>
          <w:rFonts w:ascii="Arial" w:hAnsi="Arial" w:cs="Arial"/>
        </w:rPr>
        <w:t>). Sin embargo, el cuerpo docente reportó una deficiente capacitación institucional (</w:t>
      </w:r>
      <m:oMath>
        <m:r>
          <w:rPr>
            <w:rFonts w:ascii="Cambria Math" w:hAnsi="Cambria Math" w:cs="Arial"/>
          </w:rPr>
          <m:t>M = 2.40</m:t>
        </m:r>
      </m:oMath>
      <w:r w:rsidRPr="00F40EAB">
        <w:rPr>
          <w:rFonts w:ascii="Arial" w:hAnsi="Arial" w:cs="Arial"/>
        </w:rPr>
        <w:t xml:space="preserve">) y la dirección señaló explícitamente que el mayor reto actual es </w:t>
      </w:r>
      <w:r w:rsidRPr="00F40EAB">
        <w:rPr>
          <w:rFonts w:ascii="Arial" w:hAnsi="Arial" w:cs="Arial"/>
          <w:i/>
          <w:iCs/>
        </w:rPr>
        <w:t>sistematizar</w:t>
      </w:r>
      <w:r w:rsidRPr="00F40EAB">
        <w:rPr>
          <w:rFonts w:ascii="Arial" w:hAnsi="Arial" w:cs="Arial"/>
        </w:rPr>
        <w:t xml:space="preserve"> la evaluación formativa para traducirla en una calificación numérica tradicional.</w:t>
      </w:r>
    </w:p>
    <w:p w14:paraId="08F108C6" w14:textId="77777777" w:rsidR="00916FA5" w:rsidRDefault="00916FA5" w:rsidP="00DC0934">
      <w:pPr>
        <w:spacing w:after="240" w:line="276" w:lineRule="auto"/>
        <w:ind w:firstLine="720"/>
        <w:jc w:val="both"/>
        <w:rPr>
          <w:rFonts w:ascii="Arial" w:hAnsi="Arial" w:cs="Arial"/>
        </w:rPr>
      </w:pPr>
    </w:p>
    <w:p w14:paraId="3F12D2AC" w14:textId="47F123A3" w:rsidR="00073187" w:rsidRPr="00F40EAB" w:rsidRDefault="00F40EAB" w:rsidP="00DC0934">
      <w:pPr>
        <w:spacing w:after="240" w:line="276" w:lineRule="auto"/>
        <w:ind w:firstLine="720"/>
        <w:jc w:val="both"/>
        <w:rPr>
          <w:rFonts w:ascii="Arial" w:hAnsi="Arial" w:cs="Arial"/>
        </w:rPr>
      </w:pPr>
      <w:r w:rsidRPr="00F40EAB">
        <w:rPr>
          <w:rFonts w:ascii="Arial" w:hAnsi="Arial" w:cs="Arial"/>
        </w:rPr>
        <w:lastRenderedPageBreak/>
        <w:t xml:space="preserve">Por lo tanto, la disminución de los promedios en el ciclo 2025-2026 sugiere que los docentes están atravesando un proceso complejo de reajuste en sus instrumentos de medición. El intento de encuadrar rúbricas cualitativas y de aprendizaje situado (cuyo impacto integral es difícil de cuantificar a corto plazo) dentro de lógicas de calificación convencionales, </w:t>
      </w:r>
      <w:r w:rsidR="00800363" w:rsidRPr="00F40EAB">
        <w:rPr>
          <w:rFonts w:ascii="Arial" w:hAnsi="Arial" w:cs="Arial"/>
        </w:rPr>
        <w:t>podría habe</w:t>
      </w:r>
      <w:r w:rsidR="00360102" w:rsidRPr="00F40EAB">
        <w:rPr>
          <w:rFonts w:ascii="Arial" w:hAnsi="Arial" w:cs="Arial"/>
        </w:rPr>
        <w:t>r generado</w:t>
      </w:r>
      <w:r w:rsidR="00800363" w:rsidRPr="00F40EAB">
        <w:rPr>
          <w:rFonts w:ascii="Arial" w:hAnsi="Arial" w:cs="Arial"/>
        </w:rPr>
        <w:t xml:space="preserve"> </w:t>
      </w:r>
      <w:r w:rsidRPr="00F40EAB">
        <w:rPr>
          <w:rFonts w:ascii="Arial" w:hAnsi="Arial" w:cs="Arial"/>
        </w:rPr>
        <w:t xml:space="preserve">una penalización temporal en los promedios numéricos. </w:t>
      </w:r>
      <w:r w:rsidR="00800363" w:rsidRPr="00F40EAB">
        <w:rPr>
          <w:rFonts w:ascii="Arial" w:hAnsi="Arial" w:cs="Arial"/>
        </w:rPr>
        <w:t xml:space="preserve">Esta lectura es consistente con </w:t>
      </w:r>
      <w:r w:rsidRPr="00F40EAB">
        <w:rPr>
          <w:rFonts w:ascii="Arial" w:hAnsi="Arial" w:cs="Arial"/>
        </w:rPr>
        <w:t xml:space="preserve">la literatura (Durand Villalobos &amp; Benítez Alcaraz, 2025; Macias Monroy, 2025) </w:t>
      </w:r>
      <w:r w:rsidR="0059551B" w:rsidRPr="00F40EAB">
        <w:rPr>
          <w:rFonts w:ascii="Arial" w:hAnsi="Arial" w:cs="Arial"/>
        </w:rPr>
        <w:t xml:space="preserve">que señala que </w:t>
      </w:r>
      <w:r w:rsidRPr="00F40EAB">
        <w:rPr>
          <w:rFonts w:ascii="Arial" w:hAnsi="Arial" w:cs="Arial"/>
        </w:rPr>
        <w:t>la transición hacia metodologías activas y evaluación formativa resulta accidentada cuando carece de un andamiaje formativo claro y un acompañamiento institucional sostenido.</w:t>
      </w:r>
    </w:p>
    <w:p w14:paraId="1A7A385B" w14:textId="77777777" w:rsidR="00800363" w:rsidRPr="00F40EAB" w:rsidRDefault="00800363" w:rsidP="00DC0934">
      <w:pPr>
        <w:pStyle w:val="NormalWeb"/>
        <w:spacing w:before="0" w:beforeAutospacing="0" w:after="240" w:afterAutospacing="0"/>
        <w:ind w:firstLine="720"/>
        <w:jc w:val="both"/>
        <w:rPr>
          <w:rFonts w:ascii="Arial" w:hAnsi="Arial" w:cs="Arial"/>
        </w:rPr>
      </w:pPr>
      <w:r w:rsidRPr="00F40EAB">
        <w:rPr>
          <w:rFonts w:ascii="Arial" w:hAnsi="Arial" w:cs="Arial"/>
        </w:rPr>
        <w:t>La Tabla 4 integra los tres componentes del estudio por dimensión y muestra que la evidencia converge en la debilidad de la capacitación oficial, en la dificultad para traducir la evaluación formativa a calificación y en la barrera socioeconómica para la participación comunitaria, mientras que diverge en el valor atribuido a la experiencia docente.</w:t>
      </w:r>
    </w:p>
    <w:p w14:paraId="5DD0C157" w14:textId="77777777" w:rsidR="00800363" w:rsidRPr="00F40EAB" w:rsidRDefault="00800363" w:rsidP="00800363">
      <w:pPr>
        <w:pStyle w:val="NormalWeb"/>
        <w:spacing w:before="200" w:beforeAutospacing="0" w:after="120" w:afterAutospacing="0"/>
        <w:jc w:val="both"/>
        <w:rPr>
          <w:rFonts w:ascii="Arial" w:hAnsi="Arial" w:cs="Arial"/>
        </w:rPr>
      </w:pPr>
      <w:r w:rsidRPr="00F40EAB">
        <w:rPr>
          <w:rFonts w:ascii="Arial" w:hAnsi="Arial" w:cs="Arial"/>
          <w:b/>
          <w:bCs/>
          <w:sz w:val="22"/>
          <w:szCs w:val="22"/>
        </w:rPr>
        <w:t>Tabla 4. Matriz de triangulación por dimensión</w:t>
      </w:r>
    </w:p>
    <w:tbl>
      <w:tblPr>
        <w:tblW w:w="0" w:type="auto"/>
        <w:jc w:val="center"/>
        <w:tblCellMar>
          <w:top w:w="15" w:type="dxa"/>
          <w:left w:w="15" w:type="dxa"/>
          <w:bottom w:w="15" w:type="dxa"/>
          <w:right w:w="15" w:type="dxa"/>
        </w:tblCellMar>
        <w:tblLook w:val="04A0" w:firstRow="1" w:lastRow="0" w:firstColumn="1" w:lastColumn="0" w:noHBand="0" w:noVBand="1"/>
      </w:tblPr>
      <w:tblGrid>
        <w:gridCol w:w="1511"/>
        <w:gridCol w:w="1960"/>
        <w:gridCol w:w="1804"/>
        <w:gridCol w:w="1698"/>
        <w:gridCol w:w="2054"/>
      </w:tblGrid>
      <w:tr w:rsidR="00F40EAB" w:rsidRPr="00F40EAB" w14:paraId="6988CA64" w14:textId="77777777">
        <w:trPr>
          <w:trHeight w:val="658"/>
          <w:jc w:val="center"/>
        </w:trPr>
        <w:tc>
          <w:tcPr>
            <w:tcW w:w="0" w:type="auto"/>
            <w:tcBorders>
              <w:top w:val="single" w:sz="4" w:space="0" w:color="000000"/>
              <w:bottom w:val="single" w:sz="4" w:space="0" w:color="000000"/>
            </w:tcBorders>
            <w:tcMar>
              <w:top w:w="0" w:type="dxa"/>
              <w:left w:w="108" w:type="dxa"/>
              <w:bottom w:w="0" w:type="dxa"/>
              <w:right w:w="108" w:type="dxa"/>
            </w:tcMar>
            <w:vAlign w:val="center"/>
            <w:hideMark/>
          </w:tcPr>
          <w:p w14:paraId="2C960EFB" w14:textId="77777777" w:rsidR="00800363" w:rsidRPr="00F40EAB" w:rsidRDefault="00800363">
            <w:pPr>
              <w:pStyle w:val="NormalWeb"/>
              <w:spacing w:before="60" w:beforeAutospacing="0" w:after="60" w:afterAutospacing="0"/>
              <w:jc w:val="center"/>
              <w:rPr>
                <w:rFonts w:ascii="Arial" w:hAnsi="Arial" w:cs="Arial"/>
              </w:rPr>
            </w:pPr>
            <w:r w:rsidRPr="00F40EAB">
              <w:rPr>
                <w:rFonts w:ascii="Arial" w:hAnsi="Arial" w:cs="Arial"/>
                <w:b/>
                <w:bCs/>
                <w:sz w:val="18"/>
                <w:szCs w:val="18"/>
              </w:rPr>
              <w:t>Dimensión</w:t>
            </w:r>
          </w:p>
        </w:tc>
        <w:tc>
          <w:tcPr>
            <w:tcW w:w="0" w:type="auto"/>
            <w:tcBorders>
              <w:top w:val="single" w:sz="4" w:space="0" w:color="000000"/>
              <w:bottom w:val="single" w:sz="4" w:space="0" w:color="000000"/>
            </w:tcBorders>
            <w:tcMar>
              <w:top w:w="0" w:type="dxa"/>
              <w:left w:w="108" w:type="dxa"/>
              <w:bottom w:w="0" w:type="dxa"/>
              <w:right w:w="108" w:type="dxa"/>
            </w:tcMar>
            <w:vAlign w:val="center"/>
            <w:hideMark/>
          </w:tcPr>
          <w:p w14:paraId="13C98E00" w14:textId="1C00974C" w:rsidR="00800363" w:rsidRPr="00F40EAB" w:rsidRDefault="00800363">
            <w:pPr>
              <w:pStyle w:val="NormalWeb"/>
              <w:spacing w:before="60" w:beforeAutospacing="0" w:after="60" w:afterAutospacing="0"/>
              <w:jc w:val="center"/>
              <w:rPr>
                <w:rFonts w:ascii="Arial" w:hAnsi="Arial" w:cs="Arial"/>
                <w:sz w:val="18"/>
                <w:szCs w:val="18"/>
              </w:rPr>
            </w:pPr>
            <w:r w:rsidRPr="00F40EAB">
              <w:rPr>
                <w:rFonts w:ascii="Arial" w:hAnsi="Arial" w:cs="Arial"/>
                <w:b/>
                <w:bCs/>
                <w:sz w:val="18"/>
                <w:szCs w:val="18"/>
              </w:rPr>
              <w:t xml:space="preserve">Cuestionario docente </w:t>
            </w:r>
            <w:r w:rsidR="00360102" w:rsidRPr="00F40EAB">
              <w:rPr>
                <w:rFonts w:ascii="Arial" w:hAnsi="Arial" w:cs="Arial"/>
                <w:b/>
                <w:bCs/>
                <w:sz w:val="18"/>
                <w:szCs w:val="18"/>
              </w:rPr>
              <w:t>(</w:t>
            </w:r>
            <m:oMath>
              <m:r>
                <w:rPr>
                  <w:rFonts w:ascii="Cambria Math" w:hAnsi="Cambria Math" w:cs="Arial"/>
                  <w:sz w:val="18"/>
                  <w:szCs w:val="18"/>
                </w:rPr>
                <m:t>n = 5</m:t>
              </m:r>
            </m:oMath>
            <w:r w:rsidR="00360102" w:rsidRPr="00F40EAB">
              <w:rPr>
                <w:rFonts w:ascii="Arial" w:hAnsi="Arial" w:cs="Arial"/>
                <w:sz w:val="18"/>
                <w:szCs w:val="18"/>
              </w:rPr>
              <w:t>)</w:t>
            </w:r>
          </w:p>
        </w:tc>
        <w:tc>
          <w:tcPr>
            <w:tcW w:w="0" w:type="auto"/>
            <w:tcBorders>
              <w:top w:val="single" w:sz="4" w:space="0" w:color="000000"/>
              <w:bottom w:val="single" w:sz="4" w:space="0" w:color="000000"/>
            </w:tcBorders>
            <w:tcMar>
              <w:top w:w="0" w:type="dxa"/>
              <w:left w:w="108" w:type="dxa"/>
              <w:bottom w:w="0" w:type="dxa"/>
              <w:right w:w="108" w:type="dxa"/>
            </w:tcMar>
            <w:vAlign w:val="center"/>
            <w:hideMark/>
          </w:tcPr>
          <w:p w14:paraId="36594F2C" w14:textId="77777777" w:rsidR="00800363" w:rsidRPr="00F40EAB" w:rsidRDefault="00800363">
            <w:pPr>
              <w:pStyle w:val="NormalWeb"/>
              <w:spacing w:before="60" w:beforeAutospacing="0" w:after="60" w:afterAutospacing="0"/>
              <w:jc w:val="center"/>
              <w:rPr>
                <w:rFonts w:ascii="Arial" w:hAnsi="Arial" w:cs="Arial"/>
              </w:rPr>
            </w:pPr>
            <w:r w:rsidRPr="00F40EAB">
              <w:rPr>
                <w:rFonts w:ascii="Arial" w:hAnsi="Arial" w:cs="Arial"/>
                <w:b/>
                <w:bCs/>
                <w:sz w:val="18"/>
                <w:szCs w:val="18"/>
              </w:rPr>
              <w:t>Entrevista directiva</w:t>
            </w:r>
          </w:p>
        </w:tc>
        <w:tc>
          <w:tcPr>
            <w:tcW w:w="0" w:type="auto"/>
            <w:tcBorders>
              <w:top w:val="single" w:sz="4" w:space="0" w:color="000000"/>
              <w:bottom w:val="single" w:sz="4" w:space="0" w:color="000000"/>
            </w:tcBorders>
            <w:tcMar>
              <w:top w:w="0" w:type="dxa"/>
              <w:left w:w="108" w:type="dxa"/>
              <w:bottom w:w="0" w:type="dxa"/>
              <w:right w:w="108" w:type="dxa"/>
            </w:tcMar>
            <w:vAlign w:val="center"/>
            <w:hideMark/>
          </w:tcPr>
          <w:p w14:paraId="1B3F152A" w14:textId="77777777" w:rsidR="00800363" w:rsidRPr="00F40EAB" w:rsidRDefault="00800363">
            <w:pPr>
              <w:pStyle w:val="NormalWeb"/>
              <w:spacing w:before="60" w:beforeAutospacing="0" w:after="60" w:afterAutospacing="0"/>
              <w:jc w:val="center"/>
              <w:rPr>
                <w:rFonts w:ascii="Arial" w:hAnsi="Arial" w:cs="Arial"/>
              </w:rPr>
            </w:pPr>
            <w:r w:rsidRPr="00F40EAB">
              <w:rPr>
                <w:rFonts w:ascii="Arial" w:hAnsi="Arial" w:cs="Arial"/>
                <w:b/>
                <w:bCs/>
                <w:sz w:val="18"/>
                <w:szCs w:val="18"/>
              </w:rPr>
              <w:t>Registros académicos</w:t>
            </w:r>
          </w:p>
        </w:tc>
        <w:tc>
          <w:tcPr>
            <w:tcW w:w="0" w:type="auto"/>
            <w:tcBorders>
              <w:top w:val="single" w:sz="4" w:space="0" w:color="000000"/>
              <w:bottom w:val="single" w:sz="4" w:space="0" w:color="000000"/>
            </w:tcBorders>
            <w:tcMar>
              <w:top w:w="0" w:type="dxa"/>
              <w:left w:w="108" w:type="dxa"/>
              <w:bottom w:w="0" w:type="dxa"/>
              <w:right w:w="108" w:type="dxa"/>
            </w:tcMar>
            <w:vAlign w:val="center"/>
            <w:hideMark/>
          </w:tcPr>
          <w:p w14:paraId="5E1BBF5A" w14:textId="77777777" w:rsidR="00800363" w:rsidRPr="00F40EAB" w:rsidRDefault="00800363">
            <w:pPr>
              <w:pStyle w:val="NormalWeb"/>
              <w:spacing w:before="60" w:beforeAutospacing="0" w:after="60" w:afterAutospacing="0"/>
              <w:jc w:val="center"/>
              <w:rPr>
                <w:rFonts w:ascii="Arial" w:hAnsi="Arial" w:cs="Arial"/>
              </w:rPr>
            </w:pPr>
            <w:r w:rsidRPr="00F40EAB">
              <w:rPr>
                <w:rFonts w:ascii="Arial" w:hAnsi="Arial" w:cs="Arial"/>
                <w:b/>
                <w:bCs/>
                <w:sz w:val="18"/>
                <w:szCs w:val="18"/>
              </w:rPr>
              <w:t>Lectura integrada</w:t>
            </w:r>
          </w:p>
        </w:tc>
      </w:tr>
      <w:tr w:rsidR="00F40EAB" w:rsidRPr="00F40EAB" w14:paraId="4E565974" w14:textId="77777777">
        <w:trPr>
          <w:trHeight w:val="658"/>
          <w:jc w:val="center"/>
        </w:trPr>
        <w:tc>
          <w:tcPr>
            <w:tcW w:w="0" w:type="auto"/>
            <w:tcBorders>
              <w:top w:val="single" w:sz="4" w:space="0" w:color="000000"/>
            </w:tcBorders>
            <w:tcMar>
              <w:top w:w="0" w:type="dxa"/>
              <w:left w:w="108" w:type="dxa"/>
              <w:bottom w:w="0" w:type="dxa"/>
              <w:right w:w="108" w:type="dxa"/>
            </w:tcMar>
            <w:vAlign w:val="center"/>
            <w:hideMark/>
          </w:tcPr>
          <w:p w14:paraId="3FC95158"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1. Fundamentos pedagógicos</w:t>
            </w:r>
          </w:p>
        </w:tc>
        <w:tc>
          <w:tcPr>
            <w:tcW w:w="0" w:type="auto"/>
            <w:tcBorders>
              <w:top w:val="single" w:sz="4" w:space="0" w:color="000000"/>
            </w:tcBorders>
            <w:tcMar>
              <w:top w:w="0" w:type="dxa"/>
              <w:left w:w="108" w:type="dxa"/>
              <w:bottom w:w="0" w:type="dxa"/>
              <w:right w:w="108" w:type="dxa"/>
            </w:tcMar>
            <w:vAlign w:val="center"/>
            <w:hideMark/>
          </w:tcPr>
          <w:p w14:paraId="29426FD7" w14:textId="1122E9F2" w:rsidR="00800363" w:rsidRPr="00F40EAB" w:rsidRDefault="00800363" w:rsidP="00360102">
            <w:pPr>
              <w:pStyle w:val="NormalWeb"/>
              <w:spacing w:before="60" w:beforeAutospacing="0" w:after="60" w:afterAutospacing="0"/>
              <w:rPr>
                <w:rFonts w:ascii="Arial" w:hAnsi="Arial" w:cs="Arial"/>
                <w:sz w:val="18"/>
                <w:szCs w:val="18"/>
              </w:rPr>
            </w:pPr>
            <w:r w:rsidRPr="00F40EAB">
              <w:rPr>
                <w:rFonts w:ascii="Arial" w:hAnsi="Arial" w:cs="Arial"/>
                <w:sz w:val="18"/>
                <w:szCs w:val="18"/>
              </w:rPr>
              <w:t xml:space="preserve">Comprensión de objetivos </w:t>
            </w:r>
            <m:oMath>
              <m:r>
                <w:rPr>
                  <w:rFonts w:ascii="Cambria Math" w:hAnsi="Cambria Math" w:cs="Arial"/>
                  <w:sz w:val="18"/>
                  <w:szCs w:val="18"/>
                </w:rPr>
                <m:t>M = 3.20</m:t>
              </m:r>
            </m:oMath>
            <w:r w:rsidRPr="00F40EAB">
              <w:rPr>
                <w:rFonts w:ascii="Arial" w:hAnsi="Arial" w:cs="Arial"/>
                <w:sz w:val="18"/>
                <w:szCs w:val="18"/>
              </w:rPr>
              <w:t xml:space="preserve">; pertinencia </w:t>
            </w:r>
            <m:oMath>
              <m:r>
                <w:rPr>
                  <w:rFonts w:ascii="Cambria Math" w:hAnsi="Cambria Math" w:cs="Arial"/>
                  <w:sz w:val="18"/>
                  <w:szCs w:val="18"/>
                </w:rPr>
                <m:t>M = 3.00</m:t>
              </m:r>
            </m:oMath>
          </w:p>
        </w:tc>
        <w:tc>
          <w:tcPr>
            <w:tcW w:w="0" w:type="auto"/>
            <w:tcBorders>
              <w:top w:val="single" w:sz="4" w:space="0" w:color="000000"/>
            </w:tcBorders>
            <w:tcMar>
              <w:top w:w="0" w:type="dxa"/>
              <w:left w:w="108" w:type="dxa"/>
              <w:bottom w:w="0" w:type="dxa"/>
              <w:right w:w="108" w:type="dxa"/>
            </w:tcMar>
            <w:vAlign w:val="center"/>
            <w:hideMark/>
          </w:tcPr>
          <w:p w14:paraId="74C960E5"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Transición inacabada; arraigo a la “escuela antigua”</w:t>
            </w:r>
          </w:p>
        </w:tc>
        <w:tc>
          <w:tcPr>
            <w:tcW w:w="0" w:type="auto"/>
            <w:tcBorders>
              <w:top w:val="single" w:sz="4" w:space="0" w:color="000000"/>
            </w:tcBorders>
            <w:tcMar>
              <w:top w:w="0" w:type="dxa"/>
              <w:left w:w="108" w:type="dxa"/>
              <w:bottom w:w="0" w:type="dxa"/>
              <w:right w:w="108" w:type="dxa"/>
            </w:tcMar>
            <w:vAlign w:val="center"/>
            <w:hideMark/>
          </w:tcPr>
          <w:p w14:paraId="6C973091"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No aplica</w:t>
            </w:r>
          </w:p>
        </w:tc>
        <w:tc>
          <w:tcPr>
            <w:tcW w:w="0" w:type="auto"/>
            <w:tcBorders>
              <w:top w:val="single" w:sz="4" w:space="0" w:color="000000"/>
            </w:tcBorders>
            <w:tcMar>
              <w:top w:w="0" w:type="dxa"/>
              <w:left w:w="108" w:type="dxa"/>
              <w:bottom w:w="0" w:type="dxa"/>
              <w:right w:w="108" w:type="dxa"/>
            </w:tcMar>
            <w:vAlign w:val="center"/>
            <w:hideMark/>
          </w:tcPr>
          <w:p w14:paraId="7F2F22C8"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Convergencia: apropiación parcial del modelo</w:t>
            </w:r>
          </w:p>
        </w:tc>
      </w:tr>
      <w:tr w:rsidR="00F40EAB" w:rsidRPr="00F40EAB" w14:paraId="6968303A" w14:textId="77777777">
        <w:trPr>
          <w:trHeight w:val="658"/>
          <w:jc w:val="center"/>
        </w:trPr>
        <w:tc>
          <w:tcPr>
            <w:tcW w:w="0" w:type="auto"/>
            <w:tcMar>
              <w:top w:w="0" w:type="dxa"/>
              <w:left w:w="108" w:type="dxa"/>
              <w:bottom w:w="0" w:type="dxa"/>
              <w:right w:w="108" w:type="dxa"/>
            </w:tcMar>
            <w:vAlign w:val="center"/>
            <w:hideMark/>
          </w:tcPr>
          <w:p w14:paraId="61B28849"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2. Metodologías activas y evaluación</w:t>
            </w:r>
          </w:p>
        </w:tc>
        <w:tc>
          <w:tcPr>
            <w:tcW w:w="0" w:type="auto"/>
            <w:tcMar>
              <w:top w:w="0" w:type="dxa"/>
              <w:left w:w="108" w:type="dxa"/>
              <w:bottom w:w="0" w:type="dxa"/>
              <w:right w:w="108" w:type="dxa"/>
            </w:tcMar>
            <w:vAlign w:val="center"/>
            <w:hideMark/>
          </w:tcPr>
          <w:p w14:paraId="19234DDC" w14:textId="4F49DFFE" w:rsidR="00800363" w:rsidRPr="00F40EAB" w:rsidRDefault="00800363">
            <w:pPr>
              <w:pStyle w:val="NormalWeb"/>
              <w:spacing w:before="60" w:beforeAutospacing="0" w:after="60" w:afterAutospacing="0"/>
              <w:rPr>
                <w:rFonts w:ascii="Arial" w:hAnsi="Arial" w:cs="Arial"/>
                <w:sz w:val="18"/>
                <w:szCs w:val="18"/>
              </w:rPr>
            </w:pPr>
            <w:r w:rsidRPr="00F40EAB">
              <w:rPr>
                <w:rFonts w:ascii="Arial" w:hAnsi="Arial" w:cs="Arial"/>
                <w:sz w:val="18"/>
                <w:szCs w:val="18"/>
              </w:rPr>
              <w:t xml:space="preserve">Evaluación formativa </w:t>
            </w:r>
            <m:oMath>
              <m:r>
                <w:rPr>
                  <w:rFonts w:ascii="Cambria Math" w:hAnsi="Cambria Math" w:cs="Arial"/>
                  <w:sz w:val="18"/>
                  <w:szCs w:val="18"/>
                </w:rPr>
                <m:t>M = 3.40</m:t>
              </m:r>
            </m:oMath>
            <w:r w:rsidRPr="00F40EAB">
              <w:rPr>
                <w:rFonts w:ascii="Arial" w:hAnsi="Arial" w:cs="Arial"/>
                <w:sz w:val="18"/>
                <w:szCs w:val="18"/>
              </w:rPr>
              <w:t xml:space="preserve">; metodologías </w:t>
            </w:r>
            <m:oMath>
              <m:r>
                <w:rPr>
                  <w:rFonts w:ascii="Cambria Math" w:hAnsi="Cambria Math" w:cs="Arial"/>
                  <w:sz w:val="18"/>
                  <w:szCs w:val="18"/>
                </w:rPr>
                <m:t>M = 3.20</m:t>
              </m:r>
            </m:oMath>
            <w:r w:rsidRPr="00F40EAB">
              <w:rPr>
                <w:rFonts w:ascii="Arial" w:hAnsi="Arial" w:cs="Arial"/>
                <w:sz w:val="18"/>
                <w:szCs w:val="18"/>
              </w:rPr>
              <w:t xml:space="preserve">; mejora de la práctica </w:t>
            </w:r>
            <m:oMath>
              <m:r>
                <w:rPr>
                  <w:rFonts w:ascii="Cambria Math" w:hAnsi="Cambria Math" w:cs="Arial"/>
                  <w:sz w:val="18"/>
                  <w:szCs w:val="18"/>
                </w:rPr>
                <m:t>M = 2.80</m:t>
              </m:r>
            </m:oMath>
          </w:p>
        </w:tc>
        <w:tc>
          <w:tcPr>
            <w:tcW w:w="0" w:type="auto"/>
            <w:tcMar>
              <w:top w:w="0" w:type="dxa"/>
              <w:left w:w="108" w:type="dxa"/>
              <w:bottom w:w="0" w:type="dxa"/>
              <w:right w:w="108" w:type="dxa"/>
            </w:tcMar>
            <w:vAlign w:val="center"/>
            <w:hideMark/>
          </w:tcPr>
          <w:p w14:paraId="7A6EB5A1"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Alumnos más activos; dificultad para sistematizar la evaluación y traducirla a número</w:t>
            </w:r>
          </w:p>
        </w:tc>
        <w:tc>
          <w:tcPr>
            <w:tcW w:w="0" w:type="auto"/>
            <w:tcMar>
              <w:top w:w="0" w:type="dxa"/>
              <w:left w:w="108" w:type="dxa"/>
              <w:bottom w:w="0" w:type="dxa"/>
              <w:right w:w="108" w:type="dxa"/>
            </w:tcMar>
            <w:vAlign w:val="center"/>
            <w:hideMark/>
          </w:tcPr>
          <w:p w14:paraId="043AD0FC" w14:textId="2CE1CC06"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Descenso de 0.4</w:t>
            </w:r>
            <w:r w:rsidR="00360102" w:rsidRPr="00F40EAB">
              <w:rPr>
                <w:rFonts w:ascii="Arial" w:hAnsi="Arial" w:cs="Arial"/>
                <w:sz w:val="18"/>
                <w:szCs w:val="18"/>
              </w:rPr>
              <w:t>1</w:t>
            </w:r>
            <w:r w:rsidRPr="00F40EAB">
              <w:rPr>
                <w:rFonts w:ascii="Arial" w:hAnsi="Arial" w:cs="Arial"/>
                <w:sz w:val="18"/>
                <w:szCs w:val="18"/>
              </w:rPr>
              <w:t xml:space="preserve"> puntos, similar en los cuatro campos formativos</w:t>
            </w:r>
          </w:p>
        </w:tc>
        <w:tc>
          <w:tcPr>
            <w:tcW w:w="0" w:type="auto"/>
            <w:tcMar>
              <w:top w:w="0" w:type="dxa"/>
              <w:left w:w="108" w:type="dxa"/>
              <w:bottom w:w="0" w:type="dxa"/>
              <w:right w:w="108" w:type="dxa"/>
            </w:tcMar>
            <w:vAlign w:val="center"/>
            <w:hideMark/>
          </w:tcPr>
          <w:p w14:paraId="5F7011D0"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Convergencia parcial: el reto se ubica en la traducción numérica de la evaluación</w:t>
            </w:r>
          </w:p>
        </w:tc>
      </w:tr>
      <w:tr w:rsidR="00F40EAB" w:rsidRPr="00F40EAB" w14:paraId="721CDFD3" w14:textId="77777777">
        <w:trPr>
          <w:trHeight w:val="658"/>
          <w:jc w:val="center"/>
        </w:trPr>
        <w:tc>
          <w:tcPr>
            <w:tcW w:w="0" w:type="auto"/>
            <w:tcMar>
              <w:top w:w="0" w:type="dxa"/>
              <w:left w:w="108" w:type="dxa"/>
              <w:bottom w:w="0" w:type="dxa"/>
              <w:right w:w="108" w:type="dxa"/>
            </w:tcMar>
            <w:vAlign w:val="center"/>
            <w:hideMark/>
          </w:tcPr>
          <w:p w14:paraId="5D0F0ED7"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3. Contexto sociocultural</w:t>
            </w:r>
          </w:p>
        </w:tc>
        <w:tc>
          <w:tcPr>
            <w:tcW w:w="0" w:type="auto"/>
            <w:tcMar>
              <w:top w:w="0" w:type="dxa"/>
              <w:left w:w="108" w:type="dxa"/>
              <w:bottom w:w="0" w:type="dxa"/>
              <w:right w:w="108" w:type="dxa"/>
            </w:tcMar>
            <w:vAlign w:val="center"/>
            <w:hideMark/>
          </w:tcPr>
          <w:p w14:paraId="25B92BEB" w14:textId="1C8C83CA" w:rsidR="00800363" w:rsidRPr="00F40EAB" w:rsidRDefault="00800363">
            <w:pPr>
              <w:pStyle w:val="NormalWeb"/>
              <w:spacing w:before="60" w:beforeAutospacing="0" w:after="60" w:afterAutospacing="0"/>
              <w:rPr>
                <w:rFonts w:ascii="Arial" w:hAnsi="Arial" w:cs="Arial"/>
                <w:sz w:val="18"/>
                <w:szCs w:val="18"/>
              </w:rPr>
            </w:pPr>
            <w:r w:rsidRPr="00F40EAB">
              <w:rPr>
                <w:rFonts w:ascii="Arial" w:hAnsi="Arial" w:cs="Arial"/>
                <w:sz w:val="18"/>
                <w:szCs w:val="18"/>
              </w:rPr>
              <w:t xml:space="preserve">Inclusión </w:t>
            </w:r>
            <m:oMath>
              <m:r>
                <w:rPr>
                  <w:rFonts w:ascii="Cambria Math" w:hAnsi="Cambria Math" w:cs="Arial"/>
                  <w:sz w:val="18"/>
                  <w:szCs w:val="18"/>
                </w:rPr>
                <m:t>M = 3.20</m:t>
              </m:r>
            </m:oMath>
            <w:r w:rsidRPr="00F40EAB">
              <w:rPr>
                <w:rFonts w:ascii="Arial" w:hAnsi="Arial" w:cs="Arial"/>
                <w:sz w:val="18"/>
                <w:szCs w:val="18"/>
              </w:rPr>
              <w:t xml:space="preserve">; participación comunitaria </w:t>
            </w:r>
            <m:oMath>
              <m:r>
                <w:rPr>
                  <w:rFonts w:ascii="Cambria Math" w:hAnsi="Cambria Math" w:cs="Arial"/>
                  <w:sz w:val="18"/>
                  <w:szCs w:val="18"/>
                </w:rPr>
                <m:t xml:space="preserve">M = 2.80 </m:t>
              </m:r>
            </m:oMath>
            <w:r w:rsidRPr="00F40EAB">
              <w:rPr>
                <w:rFonts w:ascii="Arial" w:hAnsi="Arial" w:cs="Arial"/>
                <w:sz w:val="18"/>
                <w:szCs w:val="18"/>
              </w:rPr>
              <w:t>(</w:t>
            </w:r>
            <m:oMath>
              <m:r>
                <w:rPr>
                  <w:rFonts w:ascii="Cambria Math" w:hAnsi="Cambria Math" w:cs="Arial"/>
                  <w:sz w:val="18"/>
                  <w:szCs w:val="18"/>
                </w:rPr>
                <m:t>DE = 1.48)</m:t>
              </m:r>
            </m:oMath>
          </w:p>
        </w:tc>
        <w:tc>
          <w:tcPr>
            <w:tcW w:w="0" w:type="auto"/>
            <w:tcMar>
              <w:top w:w="0" w:type="dxa"/>
              <w:left w:w="108" w:type="dxa"/>
              <w:bottom w:w="0" w:type="dxa"/>
              <w:right w:w="108" w:type="dxa"/>
            </w:tcMar>
            <w:vAlign w:val="center"/>
            <w:hideMark/>
          </w:tcPr>
          <w:p w14:paraId="4BD699BB"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Familias ausentes por sus actividades laborales</w:t>
            </w:r>
          </w:p>
        </w:tc>
        <w:tc>
          <w:tcPr>
            <w:tcW w:w="0" w:type="auto"/>
            <w:tcMar>
              <w:top w:w="0" w:type="dxa"/>
              <w:left w:w="108" w:type="dxa"/>
              <w:bottom w:w="0" w:type="dxa"/>
              <w:right w:w="108" w:type="dxa"/>
            </w:tcMar>
            <w:vAlign w:val="center"/>
            <w:hideMark/>
          </w:tcPr>
          <w:p w14:paraId="02D48017"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No aplica</w:t>
            </w:r>
          </w:p>
        </w:tc>
        <w:tc>
          <w:tcPr>
            <w:tcW w:w="0" w:type="auto"/>
            <w:tcMar>
              <w:top w:w="0" w:type="dxa"/>
              <w:left w:w="108" w:type="dxa"/>
              <w:bottom w:w="0" w:type="dxa"/>
              <w:right w:w="108" w:type="dxa"/>
            </w:tcMar>
            <w:vAlign w:val="center"/>
            <w:hideMark/>
          </w:tcPr>
          <w:p w14:paraId="2D42AE13"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Convergencia: barrera socioeconómica para el vínculo comunitario</w:t>
            </w:r>
          </w:p>
        </w:tc>
      </w:tr>
      <w:tr w:rsidR="00F40EAB" w:rsidRPr="00F40EAB" w14:paraId="3C730CB3" w14:textId="77777777">
        <w:trPr>
          <w:trHeight w:val="658"/>
          <w:jc w:val="center"/>
        </w:trPr>
        <w:tc>
          <w:tcPr>
            <w:tcW w:w="0" w:type="auto"/>
            <w:tcBorders>
              <w:bottom w:val="single" w:sz="4" w:space="0" w:color="000000"/>
            </w:tcBorders>
            <w:tcMar>
              <w:top w:w="0" w:type="dxa"/>
              <w:left w:w="108" w:type="dxa"/>
              <w:bottom w:w="0" w:type="dxa"/>
              <w:right w:w="108" w:type="dxa"/>
            </w:tcMar>
            <w:vAlign w:val="center"/>
            <w:hideMark/>
          </w:tcPr>
          <w:p w14:paraId="58C39916"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4. Rol docente y retos</w:t>
            </w:r>
          </w:p>
        </w:tc>
        <w:tc>
          <w:tcPr>
            <w:tcW w:w="0" w:type="auto"/>
            <w:tcBorders>
              <w:bottom w:val="single" w:sz="4" w:space="0" w:color="000000"/>
            </w:tcBorders>
            <w:tcMar>
              <w:top w:w="0" w:type="dxa"/>
              <w:left w:w="108" w:type="dxa"/>
              <w:bottom w:w="0" w:type="dxa"/>
              <w:right w:w="108" w:type="dxa"/>
            </w:tcMar>
            <w:vAlign w:val="center"/>
            <w:hideMark/>
          </w:tcPr>
          <w:p w14:paraId="62D4CF5C" w14:textId="3B48DADA" w:rsidR="00800363" w:rsidRPr="00F40EAB" w:rsidRDefault="00800363">
            <w:pPr>
              <w:pStyle w:val="NormalWeb"/>
              <w:spacing w:before="60" w:beforeAutospacing="0" w:after="60" w:afterAutospacing="0"/>
              <w:rPr>
                <w:rFonts w:ascii="Arial" w:hAnsi="Arial" w:cs="Arial"/>
                <w:sz w:val="18"/>
                <w:szCs w:val="18"/>
              </w:rPr>
            </w:pPr>
            <w:r w:rsidRPr="00F40EAB">
              <w:rPr>
                <w:rFonts w:ascii="Arial" w:hAnsi="Arial" w:cs="Arial"/>
                <w:sz w:val="18"/>
                <w:szCs w:val="18"/>
              </w:rPr>
              <w:t xml:space="preserve">Experiencia previa </w:t>
            </w:r>
            <m:oMath>
              <m:r>
                <w:rPr>
                  <w:rFonts w:ascii="Cambria Math" w:hAnsi="Cambria Math" w:cs="Arial"/>
                  <w:sz w:val="18"/>
                  <w:szCs w:val="18"/>
                </w:rPr>
                <m:t>M = 4.00</m:t>
              </m:r>
            </m:oMath>
            <w:r w:rsidR="002266BA" w:rsidRPr="00F40EAB">
              <w:rPr>
                <w:rFonts w:ascii="Arial" w:hAnsi="Arial" w:cs="Arial"/>
                <w:sz w:val="18"/>
                <w:szCs w:val="18"/>
              </w:rPr>
              <w:t>;</w:t>
            </w:r>
            <w:r w:rsidRPr="00F40EAB">
              <w:rPr>
                <w:rFonts w:ascii="Arial" w:hAnsi="Arial" w:cs="Arial"/>
                <w:sz w:val="18"/>
                <w:szCs w:val="18"/>
              </w:rPr>
              <w:t xml:space="preserve"> capacitación oficial</w:t>
            </w:r>
            <w:r w:rsidR="00360102" w:rsidRPr="00F40EAB">
              <w:rPr>
                <w:rFonts w:ascii="Arial" w:hAnsi="Arial" w:cs="Arial"/>
                <w:sz w:val="18"/>
                <w:szCs w:val="18"/>
              </w:rPr>
              <w:t xml:space="preserve"> </w:t>
            </w:r>
            <m:oMath>
              <m:r>
                <w:rPr>
                  <w:rFonts w:ascii="Cambria Math" w:hAnsi="Cambria Math" w:cs="Arial"/>
                  <w:sz w:val="18"/>
                  <w:szCs w:val="18"/>
                </w:rPr>
                <m:t>M = 2.40</m:t>
              </m:r>
            </m:oMath>
          </w:p>
        </w:tc>
        <w:tc>
          <w:tcPr>
            <w:tcW w:w="0" w:type="auto"/>
            <w:tcBorders>
              <w:bottom w:val="single" w:sz="4" w:space="0" w:color="000000"/>
            </w:tcBorders>
            <w:tcMar>
              <w:top w:w="0" w:type="dxa"/>
              <w:left w:w="108" w:type="dxa"/>
              <w:bottom w:w="0" w:type="dxa"/>
              <w:right w:w="108" w:type="dxa"/>
            </w:tcMar>
            <w:vAlign w:val="center"/>
            <w:hideMark/>
          </w:tcPr>
          <w:p w14:paraId="1923EB9E"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“Nos mandaron a la guerra sin armas”; experiencia como resistencia; apoyo en el CTE</w:t>
            </w:r>
          </w:p>
        </w:tc>
        <w:tc>
          <w:tcPr>
            <w:tcW w:w="0" w:type="auto"/>
            <w:tcBorders>
              <w:bottom w:val="single" w:sz="4" w:space="0" w:color="000000"/>
            </w:tcBorders>
            <w:tcMar>
              <w:top w:w="0" w:type="dxa"/>
              <w:left w:w="108" w:type="dxa"/>
              <w:bottom w:w="0" w:type="dxa"/>
              <w:right w:w="108" w:type="dxa"/>
            </w:tcMar>
            <w:vAlign w:val="center"/>
            <w:hideMark/>
          </w:tcPr>
          <w:p w14:paraId="1212D528"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No aplica</w:t>
            </w:r>
          </w:p>
        </w:tc>
        <w:tc>
          <w:tcPr>
            <w:tcW w:w="0" w:type="auto"/>
            <w:tcBorders>
              <w:bottom w:val="single" w:sz="4" w:space="0" w:color="000000"/>
            </w:tcBorders>
            <w:tcMar>
              <w:top w:w="0" w:type="dxa"/>
              <w:left w:w="108" w:type="dxa"/>
              <w:bottom w:w="0" w:type="dxa"/>
              <w:right w:w="108" w:type="dxa"/>
            </w:tcMar>
            <w:vAlign w:val="center"/>
            <w:hideMark/>
          </w:tcPr>
          <w:p w14:paraId="77882151" w14:textId="77777777" w:rsidR="00800363" w:rsidRPr="00F40EAB" w:rsidRDefault="00800363">
            <w:pPr>
              <w:pStyle w:val="NormalWeb"/>
              <w:spacing w:before="60" w:beforeAutospacing="0" w:after="60" w:afterAutospacing="0"/>
              <w:rPr>
                <w:rFonts w:ascii="Arial" w:hAnsi="Arial" w:cs="Arial"/>
              </w:rPr>
            </w:pPr>
            <w:r w:rsidRPr="00F40EAB">
              <w:rPr>
                <w:rFonts w:ascii="Arial" w:hAnsi="Arial" w:cs="Arial"/>
                <w:sz w:val="18"/>
                <w:szCs w:val="18"/>
              </w:rPr>
              <w:t>Convergencia en la capacitación; divergencia en el papel de la experiencia</w:t>
            </w:r>
          </w:p>
        </w:tc>
      </w:tr>
    </w:tbl>
    <w:p w14:paraId="758F1E32" w14:textId="7B236720" w:rsidR="00800363" w:rsidRPr="00F40EAB" w:rsidRDefault="00800363" w:rsidP="00800363">
      <w:pPr>
        <w:pStyle w:val="NormalWeb"/>
        <w:spacing w:before="0" w:beforeAutospacing="0" w:after="120" w:afterAutospacing="0"/>
        <w:jc w:val="center"/>
        <w:rPr>
          <w:rFonts w:ascii="Arial" w:hAnsi="Arial" w:cs="Arial"/>
          <w:sz w:val="20"/>
          <w:szCs w:val="20"/>
        </w:rPr>
      </w:pPr>
      <w:r w:rsidRPr="00F40EAB">
        <w:rPr>
          <w:rFonts w:ascii="Arial" w:hAnsi="Arial" w:cs="Arial"/>
          <w:sz w:val="20"/>
          <w:szCs w:val="20"/>
        </w:rPr>
        <w:t>Fuente: elaboración propia</w:t>
      </w:r>
    </w:p>
    <w:p w14:paraId="2C37CEC6" w14:textId="254D0001" w:rsidR="003D0299" w:rsidRPr="00F40EAB" w:rsidRDefault="003D0299" w:rsidP="003D0299">
      <w:pPr>
        <w:spacing w:after="240" w:line="276" w:lineRule="auto"/>
        <w:rPr>
          <w:rFonts w:ascii="Arial" w:hAnsi="Arial" w:cs="Arial"/>
          <w:b/>
          <w:bCs/>
        </w:rPr>
      </w:pPr>
      <w:r w:rsidRPr="00F40EAB">
        <w:rPr>
          <w:rFonts w:ascii="Arial" w:hAnsi="Arial" w:cs="Arial"/>
          <w:b/>
          <w:bCs/>
        </w:rPr>
        <w:t>Alcances e interpretación de los resultados</w:t>
      </w:r>
    </w:p>
    <w:p w14:paraId="14EB7DEA" w14:textId="77777777" w:rsidR="003D0299" w:rsidRPr="00F40EAB" w:rsidRDefault="003D0299" w:rsidP="003D0299">
      <w:pPr>
        <w:pStyle w:val="NormalWeb"/>
        <w:spacing w:before="0" w:beforeAutospacing="0" w:after="240" w:afterAutospacing="0"/>
        <w:ind w:firstLine="720"/>
        <w:jc w:val="both"/>
      </w:pPr>
      <w:r w:rsidRPr="00F40EAB">
        <w:rPr>
          <w:rFonts w:ascii="Arial" w:hAnsi="Arial" w:cs="Arial"/>
        </w:rPr>
        <w:t xml:space="preserve">Los hallazgos coinciden con estudios recientes sobre la implementación de la NEM en educación básica. La baja valoración de la capacitación oficial y el recurso al trabajo colegiado replican lo documentado por Oropeza Sandoval (2024) sobre el modelo de formación en cascada y por Carrera Hernández et al. (2025), quienes </w:t>
      </w:r>
      <w:r w:rsidRPr="00F40EAB">
        <w:rPr>
          <w:rFonts w:ascii="Arial" w:hAnsi="Arial" w:cs="Arial"/>
        </w:rPr>
        <w:lastRenderedPageBreak/>
        <w:t>identifican en docentes de primaria la falta de formación continua y la persistencia de prácticas centradas en el libro de texto. La tensión entre las metodologías activas y las demandas administrativas coincide con lo reportado por Durand Villalobos y Benítez Alcaraz (2025) y por Vázquez y Esparza Puga (2025). La aportación de este estudio consiste en articular estas percepciones con registros académicos de dos ciclos escolares en un contexto rural, poco documentado en la literatura, y en ubicar en la traducción de la evaluación formativa a calificación un punto de fricción concreto de la implementación.</w:t>
      </w:r>
    </w:p>
    <w:p w14:paraId="294A373A" w14:textId="4578B08C" w:rsidR="003D0299" w:rsidRPr="00F40EAB" w:rsidRDefault="003D0299" w:rsidP="003D0299">
      <w:pPr>
        <w:pStyle w:val="NormalWeb"/>
        <w:spacing w:before="0" w:beforeAutospacing="0" w:after="240" w:afterAutospacing="0"/>
        <w:ind w:firstLine="720"/>
        <w:jc w:val="both"/>
      </w:pPr>
      <w:r w:rsidRPr="00F40EAB">
        <w:rPr>
          <w:rFonts w:ascii="Arial" w:hAnsi="Arial" w:cs="Arial"/>
        </w:rPr>
        <w:t>La interpretación de la baja en los promedios requiere tener cautela. El diseño no permite atribuir la variación a la NEM ni distinguir por completo si refleja cambios en el rendimiento de los estudiantes, en la manera de evaluar los aprendizajes o en ambos. Deben considerarse al menos tres explicaciones alternativas o complementarias. La primera es un cambio en los criterios de calificación de docentes específicos: que el descenso se concentre en una sola cohorte sugiere un efecto ligado al grupo o a quien lo evalúa, más que un fenómeno generalizado. La segunda es el propio tránsito de grado, que implica contenidos más exigentes y, con frecuencia, un docente distinto, lo que puede modificar las calificaciones con independencia del modelo. La tercera son posibles cambios en la composición de los grupos, que no pueden controlarse porque los registros no vinculan a cada alumno entre ciclos. Por otra parte, la homogeneidad del descenso en los cuatro campos formativos apunta más a un ajuste en la forma de calificar que a un deterioro focalizado en un área, lo que es coherente con la dificultad descrita por la directora: la evaluación formativa ya se practicaba, pero “no la veíamos como una herramienta más para llegar a la evaluación numérica”. Ninguna de estas hipótesis puede confirmarse con los datos disponibles.</w:t>
      </w:r>
    </w:p>
    <w:p w14:paraId="151F6A30" w14:textId="3F6ADA40" w:rsidR="00800363" w:rsidRPr="00F40EAB" w:rsidRDefault="003D0299" w:rsidP="003D0299">
      <w:pPr>
        <w:pStyle w:val="NormalWeb"/>
        <w:spacing w:before="0" w:beforeAutospacing="0" w:after="240" w:afterAutospacing="0"/>
        <w:ind w:firstLine="720"/>
        <w:jc w:val="both"/>
      </w:pPr>
      <w:r w:rsidRPr="00F40EAB">
        <w:rPr>
          <w:rFonts w:ascii="Arial" w:hAnsi="Arial" w:cs="Arial"/>
        </w:rPr>
        <w:t>Estas consideraciones delimitan los alcances del estudio. Se trata de un estudio de caso en una sola escuela, con un colectivo docente reducido (</w:t>
      </w:r>
      <m:oMath>
        <m:r>
          <w:rPr>
            <w:rFonts w:ascii="Cambria Math" w:hAnsi="Cambria Math" w:cs="Arial"/>
          </w:rPr>
          <m:t>n = 5</m:t>
        </m:r>
      </m:oMath>
      <w:r w:rsidRPr="00F40EAB">
        <w:rPr>
          <w:rFonts w:ascii="Arial" w:hAnsi="Arial" w:cs="Arial"/>
        </w:rPr>
        <w:t xml:space="preserve">) y una sola informante directiva, por lo que sus resultados no son generalizables. Futuras investigaciones podrían incorporar mediciones de logro comparables entre ciclos, </w:t>
      </w:r>
      <w:r w:rsidR="002613AD" w:rsidRPr="00F40EAB">
        <w:rPr>
          <w:rFonts w:ascii="Arial" w:hAnsi="Arial" w:cs="Arial"/>
        </w:rPr>
        <w:t>que abarquen los cuatro campos formativos,</w:t>
      </w:r>
      <w:r w:rsidRPr="00F40EAB">
        <w:rPr>
          <w:rFonts w:ascii="Arial" w:hAnsi="Arial" w:cs="Arial"/>
        </w:rPr>
        <w:t xml:space="preserve"> indagar en los criterios de evaluación de cada docente y ampliar el análisis a otras escuelas rurales.</w:t>
      </w:r>
    </w:p>
    <w:p w14:paraId="5028ED9F" w14:textId="77777777" w:rsidR="00073187" w:rsidRPr="00F40EAB" w:rsidRDefault="00F40EAB">
      <w:pPr>
        <w:spacing w:after="120"/>
        <w:jc w:val="center"/>
        <w:rPr>
          <w:rFonts w:ascii="Arial" w:hAnsi="Arial" w:cs="Arial"/>
          <w:b/>
          <w:bCs/>
        </w:rPr>
      </w:pPr>
      <w:r w:rsidRPr="00F40EAB">
        <w:rPr>
          <w:rFonts w:ascii="Arial" w:hAnsi="Arial" w:cs="Arial"/>
          <w:b/>
          <w:bCs/>
        </w:rPr>
        <w:t>Consideraciones finales</w:t>
      </w:r>
    </w:p>
    <w:p w14:paraId="4D30BE22" w14:textId="77777777" w:rsidR="00073187" w:rsidRPr="00F40EAB" w:rsidRDefault="00073187">
      <w:pPr>
        <w:spacing w:after="120"/>
        <w:jc w:val="center"/>
        <w:rPr>
          <w:rFonts w:ascii="Arial" w:hAnsi="Arial" w:cs="Arial"/>
          <w:b/>
          <w:bCs/>
        </w:rPr>
      </w:pPr>
    </w:p>
    <w:p w14:paraId="61FB023B" w14:textId="2EDA4C33" w:rsidR="00073187" w:rsidRPr="00F40EAB" w:rsidRDefault="00F40EAB">
      <w:pPr>
        <w:spacing w:after="120"/>
        <w:ind w:firstLine="720"/>
        <w:jc w:val="both"/>
        <w:rPr>
          <w:rFonts w:ascii="Arial" w:hAnsi="Arial" w:cs="Arial"/>
        </w:rPr>
      </w:pPr>
      <w:r w:rsidRPr="00F40EAB">
        <w:rPr>
          <w:rFonts w:ascii="Arial" w:hAnsi="Arial" w:cs="Arial"/>
        </w:rPr>
        <w:t xml:space="preserve">La puesta en marcha de la NEM en el contexto analizado revela una profunda dicotomía entre la aspiración del diseño pedagógico y su viabilidad operativa en las aulas. Los resultados de esta investigación evidencian que la transición hacia este nuevo modelo sociocrítico está siendo sostenida, casi en su totalidad, por la resiliencia, la actitud y la experiencia previa del colectivo docente. Ante la notable deficiencia de los mecanismos oficiales de capacitación, la escuela ha tenido que </w:t>
      </w:r>
      <w:r w:rsidRPr="00F40EAB">
        <w:rPr>
          <w:rFonts w:ascii="Arial" w:hAnsi="Arial" w:cs="Arial"/>
        </w:rPr>
        <w:lastRenderedPageBreak/>
        <w:t>recurrir a la autogestión y al trabajo colegiado para suplir la carencia de un acompañamiento institucional situado.</w:t>
      </w:r>
    </w:p>
    <w:p w14:paraId="75917024" w14:textId="54A9B59B" w:rsidR="00073187" w:rsidRPr="00F40EAB" w:rsidRDefault="00F40EAB">
      <w:pPr>
        <w:spacing w:after="120"/>
        <w:ind w:firstLine="720"/>
        <w:jc w:val="both"/>
        <w:rPr>
          <w:rFonts w:ascii="Arial" w:hAnsi="Arial" w:cs="Arial"/>
        </w:rPr>
      </w:pPr>
      <w:r w:rsidRPr="00F40EAB">
        <w:rPr>
          <w:rFonts w:ascii="Arial" w:hAnsi="Arial" w:cs="Arial"/>
        </w:rPr>
        <w:t xml:space="preserve">Una de las reflexiones más densas de este estudio surge del análisis longitudinal. La baja en los promedios </w:t>
      </w:r>
      <w:r w:rsidR="003D0299" w:rsidRPr="00F40EAB">
        <w:rPr>
          <w:rFonts w:ascii="Arial" w:hAnsi="Arial" w:cs="Arial"/>
        </w:rPr>
        <w:t>no debe leerse, sin más, como f</w:t>
      </w:r>
      <w:r w:rsidRPr="00F40EAB">
        <w:rPr>
          <w:rFonts w:ascii="Arial" w:hAnsi="Arial" w:cs="Arial"/>
        </w:rPr>
        <w:t xml:space="preserve">racaso. </w:t>
      </w:r>
      <w:r w:rsidR="0059551B" w:rsidRPr="00F40EAB">
        <w:rPr>
          <w:rFonts w:ascii="Arial" w:hAnsi="Arial" w:cs="Arial"/>
        </w:rPr>
        <w:t>Puede ser un</w:t>
      </w:r>
      <w:r w:rsidRPr="00F40EAB">
        <w:rPr>
          <w:rFonts w:ascii="Arial" w:hAnsi="Arial" w:cs="Arial"/>
        </w:rPr>
        <w:t xml:space="preserve"> síntoma. Síntoma de una fricción que la NEM dejó sin resolver: el choque entre dos lógicas evaluativas. Por un lado, procesos cualitativos y formativos, centrados en lo que el estudiante hace y elabora; por el otro, una exigencia administrativa que reclama traducirlo todo a un número en la boleta. El docente queda en medio de ese choque, intentando cuantificar lo que es, por naturaleza, cualitativo. Mientras el alumnado empieza a mostrar mayor dinamismo en las metodologías activas, el profesorado transita un aprendizaje difícil para reajustar y sistematizar sus instrumentos de medición; de ahí la </w:t>
      </w:r>
      <w:r w:rsidR="003D0299" w:rsidRPr="00F40EAB">
        <w:rPr>
          <w:rFonts w:ascii="Arial" w:hAnsi="Arial" w:cs="Arial"/>
        </w:rPr>
        <w:t>posible penalización temporal en los promedios, una hipótesis que futuros estudios deberán contrastar con medidas de logro independientes de la calificación.</w:t>
      </w:r>
    </w:p>
    <w:p w14:paraId="678805B1" w14:textId="77777777" w:rsidR="00073187" w:rsidRPr="00F40EAB" w:rsidRDefault="00F40EAB">
      <w:pPr>
        <w:spacing w:after="120"/>
        <w:ind w:firstLine="720"/>
        <w:jc w:val="both"/>
        <w:rPr>
          <w:rFonts w:ascii="Arial" w:hAnsi="Arial" w:cs="Arial"/>
        </w:rPr>
      </w:pPr>
      <w:r w:rsidRPr="00F40EAB">
        <w:rPr>
          <w:rFonts w:ascii="Arial" w:hAnsi="Arial" w:cs="Arial"/>
        </w:rPr>
        <w:t>El ideal de justicia curricular y aprendizaje comunitario choca, además, contra la realidad socioeconómica del entorno. Integrar activamente a las familias en los proyectos escolares se vuelve difícil cuando la informalidad laboral y la precariedad cotidiana del medio rural impiden la presencia física de los padres en la escuela. Esto obliga a repensar las expectativas del modelo: adaptar el vínculo comunitario a lo que cada región puede sostener, sin trasladar la frustración resultante al cuerpo docente.</w:t>
      </w:r>
    </w:p>
    <w:p w14:paraId="684F57CD" w14:textId="77777777" w:rsidR="00073187" w:rsidRPr="00F40EAB" w:rsidRDefault="00F40EAB">
      <w:pPr>
        <w:spacing w:after="120"/>
        <w:ind w:firstLine="720"/>
        <w:jc w:val="both"/>
        <w:rPr>
          <w:rFonts w:ascii="Arial" w:hAnsi="Arial" w:cs="Arial"/>
        </w:rPr>
      </w:pPr>
      <w:r w:rsidRPr="00F40EAB">
        <w:rPr>
          <w:rFonts w:ascii="Arial" w:hAnsi="Arial" w:cs="Arial"/>
        </w:rPr>
        <w:t>Para que la NEM deje de ser mandato burocrático y se vuelva transformación real, hay que cambiar cómo se implementa. Primera condición: abandonar la capacitación en cascada (abstracta, desconectada) y construir acompañamiento en el territorio, con herramientas que el docente pueda usar el lunes siguiente. Segunda condición: descargar al maestro del peso burocrático que la evaluación arrastra; recuperar horas para planear proyectos interdisciplinarios. Esta reforma funcionará solo si el sistema escucha lo que viven los docentes y actúa en consecuencia.</w:t>
      </w:r>
    </w:p>
    <w:p w14:paraId="46E84105" w14:textId="6D13EACD" w:rsidR="00073187" w:rsidRDefault="00073187">
      <w:pPr>
        <w:spacing w:after="120"/>
        <w:ind w:firstLine="708"/>
        <w:jc w:val="both"/>
        <w:rPr>
          <w:rFonts w:ascii="Arial" w:hAnsi="Arial" w:cs="Arial"/>
        </w:rPr>
      </w:pPr>
    </w:p>
    <w:p w14:paraId="30239F7A" w14:textId="3B1EBE62" w:rsidR="00916FA5" w:rsidRDefault="00916FA5">
      <w:pPr>
        <w:spacing w:after="120"/>
        <w:ind w:firstLine="708"/>
        <w:jc w:val="both"/>
        <w:rPr>
          <w:rFonts w:ascii="Arial" w:hAnsi="Arial" w:cs="Arial"/>
        </w:rPr>
      </w:pPr>
    </w:p>
    <w:p w14:paraId="257A94B0" w14:textId="0DD7694E" w:rsidR="00916FA5" w:rsidRDefault="00916FA5">
      <w:pPr>
        <w:spacing w:after="120"/>
        <w:ind w:firstLine="708"/>
        <w:jc w:val="both"/>
        <w:rPr>
          <w:rFonts w:ascii="Arial" w:hAnsi="Arial" w:cs="Arial"/>
        </w:rPr>
      </w:pPr>
    </w:p>
    <w:p w14:paraId="1BEF8E22" w14:textId="75B45FC9" w:rsidR="00916FA5" w:rsidRDefault="00916FA5">
      <w:pPr>
        <w:spacing w:after="120"/>
        <w:ind w:firstLine="708"/>
        <w:jc w:val="both"/>
        <w:rPr>
          <w:rFonts w:ascii="Arial" w:hAnsi="Arial" w:cs="Arial"/>
        </w:rPr>
      </w:pPr>
    </w:p>
    <w:p w14:paraId="23CBAB5D" w14:textId="491A0175" w:rsidR="00916FA5" w:rsidRDefault="00916FA5">
      <w:pPr>
        <w:spacing w:after="120"/>
        <w:ind w:firstLine="708"/>
        <w:jc w:val="both"/>
        <w:rPr>
          <w:rFonts w:ascii="Arial" w:hAnsi="Arial" w:cs="Arial"/>
        </w:rPr>
      </w:pPr>
    </w:p>
    <w:p w14:paraId="05B6C3D8" w14:textId="3046CD8D" w:rsidR="00916FA5" w:rsidRDefault="00916FA5">
      <w:pPr>
        <w:spacing w:after="120"/>
        <w:ind w:firstLine="708"/>
        <w:jc w:val="both"/>
        <w:rPr>
          <w:rFonts w:ascii="Arial" w:hAnsi="Arial" w:cs="Arial"/>
        </w:rPr>
      </w:pPr>
    </w:p>
    <w:p w14:paraId="27486647" w14:textId="136E58DF" w:rsidR="00916FA5" w:rsidRDefault="00916FA5">
      <w:pPr>
        <w:spacing w:after="120"/>
        <w:ind w:firstLine="708"/>
        <w:jc w:val="both"/>
        <w:rPr>
          <w:rFonts w:ascii="Arial" w:hAnsi="Arial" w:cs="Arial"/>
        </w:rPr>
      </w:pPr>
    </w:p>
    <w:p w14:paraId="0B5417B1" w14:textId="4B211F74" w:rsidR="00916FA5" w:rsidRDefault="00916FA5">
      <w:pPr>
        <w:spacing w:after="120"/>
        <w:ind w:firstLine="708"/>
        <w:jc w:val="both"/>
        <w:rPr>
          <w:rFonts w:ascii="Arial" w:hAnsi="Arial" w:cs="Arial"/>
        </w:rPr>
      </w:pPr>
    </w:p>
    <w:p w14:paraId="50C07889" w14:textId="46734246" w:rsidR="00916FA5" w:rsidRDefault="00916FA5">
      <w:pPr>
        <w:spacing w:after="120"/>
        <w:ind w:firstLine="708"/>
        <w:jc w:val="both"/>
        <w:rPr>
          <w:rFonts w:ascii="Arial" w:hAnsi="Arial" w:cs="Arial"/>
        </w:rPr>
      </w:pPr>
    </w:p>
    <w:p w14:paraId="4EC25743" w14:textId="573F44F2" w:rsidR="00916FA5" w:rsidRDefault="00916FA5">
      <w:pPr>
        <w:spacing w:after="120"/>
        <w:ind w:firstLine="708"/>
        <w:jc w:val="both"/>
        <w:rPr>
          <w:rFonts w:ascii="Arial" w:hAnsi="Arial" w:cs="Arial"/>
        </w:rPr>
      </w:pPr>
    </w:p>
    <w:p w14:paraId="3144EB74" w14:textId="77777777" w:rsidR="00916FA5" w:rsidRPr="00F40EAB" w:rsidRDefault="00916FA5">
      <w:pPr>
        <w:spacing w:after="120"/>
        <w:ind w:firstLine="708"/>
        <w:jc w:val="both"/>
        <w:rPr>
          <w:rFonts w:ascii="Arial" w:hAnsi="Arial" w:cs="Arial"/>
        </w:rPr>
      </w:pPr>
    </w:p>
    <w:p w14:paraId="571325B8" w14:textId="77777777" w:rsidR="00073187" w:rsidRPr="00916FA5" w:rsidRDefault="00F40EAB">
      <w:pPr>
        <w:spacing w:after="120"/>
        <w:jc w:val="center"/>
        <w:rPr>
          <w:rFonts w:ascii="Arial" w:hAnsi="Arial" w:cs="Arial"/>
          <w:lang w:val="en-US"/>
        </w:rPr>
      </w:pPr>
      <w:r w:rsidRPr="00916FA5">
        <w:rPr>
          <w:rFonts w:ascii="Arial" w:hAnsi="Arial" w:cs="Arial"/>
          <w:b/>
          <w:bCs/>
          <w:lang w:val="en-US"/>
        </w:rPr>
        <w:lastRenderedPageBreak/>
        <w:t>Referencias</w:t>
      </w:r>
    </w:p>
    <w:p w14:paraId="149AF9EF" w14:textId="77777777" w:rsidR="00073187" w:rsidRPr="00F40EAB" w:rsidRDefault="00F40EAB">
      <w:pPr>
        <w:spacing w:line="276" w:lineRule="auto"/>
        <w:ind w:left="708" w:hanging="705"/>
        <w:rPr>
          <w:rFonts w:ascii="Arial" w:hAnsi="Arial" w:cs="Arial"/>
        </w:rPr>
      </w:pPr>
      <w:r w:rsidRPr="00916FA5">
        <w:rPr>
          <w:rFonts w:ascii="Arial" w:hAnsi="Arial" w:cs="Arial"/>
          <w:lang w:val="en-US"/>
        </w:rPr>
        <w:t xml:space="preserve">Acero, A. (2020). </w:t>
      </w:r>
      <w:r w:rsidRPr="00916FA5">
        <w:rPr>
          <w:rFonts w:ascii="Arial" w:hAnsi="Arial" w:cs="Arial"/>
          <w:i/>
          <w:iCs/>
          <w:lang w:val="en-US"/>
        </w:rPr>
        <w:t>Active Learning to Foster STEM Education in Vulnerable Urban and Rural Contexts</w:t>
      </w:r>
      <w:r w:rsidRPr="00916FA5">
        <w:rPr>
          <w:rFonts w:ascii="Arial" w:hAnsi="Arial" w:cs="Arial"/>
          <w:lang w:val="en-US"/>
        </w:rPr>
        <w:t xml:space="preserve">. </w:t>
      </w:r>
      <w:r w:rsidRPr="00F40EAB">
        <w:rPr>
          <w:rFonts w:ascii="Arial" w:hAnsi="Arial" w:cs="Arial"/>
        </w:rPr>
        <w:t xml:space="preserve">Social Science Research Network. </w:t>
      </w:r>
      <w:hyperlink r:id="rId7">
        <w:r w:rsidR="00073187" w:rsidRPr="00F40EAB">
          <w:rPr>
            <w:rFonts w:ascii="Arial" w:hAnsi="Arial" w:cs="Arial"/>
            <w:u w:val="single"/>
          </w:rPr>
          <w:t>https://doi.org/10.2139/ssrn.3601316</w:t>
        </w:r>
      </w:hyperlink>
      <w:r w:rsidRPr="00F40EAB">
        <w:rPr>
          <w:rFonts w:ascii="Arial" w:hAnsi="Arial" w:cs="Arial"/>
        </w:rPr>
        <w:t xml:space="preserve"> </w:t>
      </w:r>
    </w:p>
    <w:p w14:paraId="1873037E" w14:textId="77777777" w:rsidR="00073187" w:rsidRPr="00F40EAB" w:rsidRDefault="00F40EAB">
      <w:pPr>
        <w:spacing w:line="276" w:lineRule="auto"/>
        <w:ind w:left="708" w:hanging="705"/>
        <w:rPr>
          <w:rFonts w:ascii="Arial" w:hAnsi="Arial" w:cs="Arial"/>
        </w:rPr>
      </w:pPr>
      <w:r w:rsidRPr="00F40EAB">
        <w:rPr>
          <w:rFonts w:ascii="Arial" w:hAnsi="Arial" w:cs="Arial"/>
        </w:rPr>
        <w:t xml:space="preserve">Arteaga-Marín, M., Sánchez-Rodríguez, A., Olivares-Carrillo, P., &amp; Maurandi-López, A. (2024). </w:t>
      </w:r>
      <w:r w:rsidRPr="00916FA5">
        <w:rPr>
          <w:rFonts w:ascii="Arial" w:hAnsi="Arial" w:cs="Arial"/>
          <w:lang w:val="en-US"/>
        </w:rPr>
        <w:t xml:space="preserve">Systematic review and a proposal for the implementation of active methodologies in STEM education. </w:t>
      </w:r>
      <w:r w:rsidRPr="00F40EAB">
        <w:rPr>
          <w:rFonts w:ascii="Arial" w:hAnsi="Arial" w:cs="Arial"/>
          <w:i/>
          <w:iCs/>
        </w:rPr>
        <w:t>EDUCATECONCIENCIA, 30</w:t>
      </w:r>
      <w:r w:rsidRPr="00F40EAB">
        <w:rPr>
          <w:rFonts w:ascii="Arial" w:hAnsi="Arial" w:cs="Arial"/>
        </w:rPr>
        <w:t xml:space="preserve">(35), 1-15. </w:t>
      </w:r>
      <w:hyperlink r:id="rId8">
        <w:r w:rsidR="00073187" w:rsidRPr="00F40EAB">
          <w:rPr>
            <w:rFonts w:ascii="Arial" w:hAnsi="Arial" w:cs="Arial"/>
            <w:u w:val="single"/>
          </w:rPr>
          <w:t>https://doi.org/10.58299/ex92v043</w:t>
        </w:r>
      </w:hyperlink>
      <w:r w:rsidRPr="00F40EAB">
        <w:rPr>
          <w:rFonts w:ascii="Arial" w:hAnsi="Arial" w:cs="Arial"/>
        </w:rPr>
        <w:t xml:space="preserve"> </w:t>
      </w:r>
    </w:p>
    <w:p w14:paraId="2622157E" w14:textId="5A52B771" w:rsidR="003D0299" w:rsidRPr="00F40EAB" w:rsidRDefault="003D0299">
      <w:pPr>
        <w:spacing w:line="276" w:lineRule="auto"/>
        <w:ind w:left="708" w:hanging="705"/>
        <w:rPr>
          <w:rFonts w:ascii="Arial" w:hAnsi="Arial" w:cs="Arial"/>
        </w:rPr>
      </w:pPr>
      <w:r w:rsidRPr="00F40EAB">
        <w:rPr>
          <w:rFonts w:ascii="Arial" w:hAnsi="Arial" w:cs="Arial"/>
        </w:rPr>
        <w:t xml:space="preserve">Carrera Hernández, C., Lara García, Y. I., &amp; Meléndez Grijalva, P. (2025). Significaciones y retos que enfrentan los profesores de educación primaria en el desarrollo curricular de la Nueva Escuela Mexicana. </w:t>
      </w:r>
      <w:r w:rsidRPr="00F40EAB">
        <w:rPr>
          <w:rFonts w:ascii="Arial" w:hAnsi="Arial" w:cs="Arial"/>
          <w:i/>
          <w:iCs/>
        </w:rPr>
        <w:t>RECIE. Revista Electrónica Científica de Investigación Educativa, 9</w:t>
      </w:r>
      <w:r w:rsidRPr="00F40EAB">
        <w:rPr>
          <w:rFonts w:ascii="Arial" w:hAnsi="Arial" w:cs="Arial"/>
        </w:rPr>
        <w:t xml:space="preserve">, e2407. </w:t>
      </w:r>
      <w:hyperlink r:id="rId9" w:history="1">
        <w:r w:rsidRPr="00F40EAB">
          <w:rPr>
            <w:rStyle w:val="Hipervnculo"/>
            <w:rFonts w:ascii="Arial" w:hAnsi="Arial" w:cs="Arial"/>
            <w:color w:val="auto"/>
          </w:rPr>
          <w:t>https://doi.org/10.33010/recie.v9i0.2407</w:t>
        </w:r>
      </w:hyperlink>
      <w:r w:rsidRPr="00F40EAB">
        <w:rPr>
          <w:rFonts w:ascii="Arial" w:hAnsi="Arial" w:cs="Arial"/>
        </w:rPr>
        <w:t xml:space="preserve"> </w:t>
      </w:r>
    </w:p>
    <w:p w14:paraId="0F59BF0F" w14:textId="77777777" w:rsidR="00073187" w:rsidRPr="00F40EAB" w:rsidRDefault="00F40EAB">
      <w:pPr>
        <w:spacing w:line="276" w:lineRule="auto"/>
        <w:ind w:left="708" w:hanging="705"/>
        <w:rPr>
          <w:rFonts w:ascii="Arial" w:hAnsi="Arial" w:cs="Arial"/>
        </w:rPr>
      </w:pPr>
      <w:r w:rsidRPr="00F40EAB">
        <w:rPr>
          <w:rFonts w:ascii="Arial" w:hAnsi="Arial" w:cs="Arial"/>
        </w:rPr>
        <w:t xml:space="preserve">De los Santos Urias, I. S., &amp; Tinajero Villavicencio, M. G. (2025). Significados docentes sobre la propuesta curricular de la Nueva Escuela Mexicana. </w:t>
      </w:r>
      <w:r w:rsidRPr="00F40EAB">
        <w:rPr>
          <w:rFonts w:ascii="Arial" w:hAnsi="Arial" w:cs="Arial"/>
          <w:i/>
          <w:iCs/>
        </w:rPr>
        <w:t>Revista Iberoamericana de Educación, 98</w:t>
      </w:r>
      <w:r w:rsidRPr="00F40EAB">
        <w:rPr>
          <w:rFonts w:ascii="Arial" w:hAnsi="Arial" w:cs="Arial"/>
        </w:rPr>
        <w:t xml:space="preserve">(1), 1-18. </w:t>
      </w:r>
      <w:hyperlink r:id="rId10">
        <w:r w:rsidR="00073187" w:rsidRPr="00F40EAB">
          <w:rPr>
            <w:rFonts w:ascii="Arial" w:hAnsi="Arial" w:cs="Arial"/>
            <w:u w:val="single"/>
          </w:rPr>
          <w:t>https://doi.org/10.35362/rie9816771</w:t>
        </w:r>
      </w:hyperlink>
      <w:r w:rsidRPr="00F40EAB">
        <w:rPr>
          <w:rFonts w:ascii="Arial" w:hAnsi="Arial" w:cs="Arial"/>
        </w:rPr>
        <w:t xml:space="preserve"> </w:t>
      </w:r>
    </w:p>
    <w:p w14:paraId="01036477" w14:textId="77777777" w:rsidR="00073187" w:rsidRPr="00F40EAB" w:rsidRDefault="00F40EAB">
      <w:pPr>
        <w:spacing w:line="276" w:lineRule="auto"/>
        <w:ind w:left="708" w:hanging="705"/>
        <w:rPr>
          <w:rFonts w:ascii="Arial" w:hAnsi="Arial" w:cs="Arial"/>
        </w:rPr>
      </w:pPr>
      <w:r w:rsidRPr="00F40EAB">
        <w:rPr>
          <w:rFonts w:ascii="Arial" w:hAnsi="Arial" w:cs="Arial"/>
        </w:rPr>
        <w:t xml:space="preserve">Durand Villalobos, J. P., &amp; Benítez Alcaraz, E. J. (2025). Explorando la Nueva Escuela Mexicana: percepciones y desafíos en educación secundaria en Sonora. </w:t>
      </w:r>
      <w:r w:rsidRPr="00F40EAB">
        <w:rPr>
          <w:rFonts w:ascii="Arial" w:hAnsi="Arial" w:cs="Arial"/>
          <w:i/>
          <w:iCs/>
        </w:rPr>
        <w:t>RECIE Revista Electrónica Científica de Investigación Educativa, 9</w:t>
      </w:r>
      <w:r w:rsidRPr="00F40EAB">
        <w:rPr>
          <w:rFonts w:ascii="Arial" w:hAnsi="Arial" w:cs="Arial"/>
        </w:rPr>
        <w:t xml:space="preserve">, 1-15. </w:t>
      </w:r>
      <w:hyperlink r:id="rId11">
        <w:r w:rsidR="00073187" w:rsidRPr="00F40EAB">
          <w:rPr>
            <w:rFonts w:ascii="Arial" w:hAnsi="Arial" w:cs="Arial"/>
            <w:u w:val="single"/>
          </w:rPr>
          <w:t>https://doi.org/10.33010/recie.v9i0.2423</w:t>
        </w:r>
      </w:hyperlink>
      <w:r w:rsidRPr="00F40EAB">
        <w:rPr>
          <w:rFonts w:ascii="Arial" w:hAnsi="Arial" w:cs="Arial"/>
        </w:rPr>
        <w:t xml:space="preserve"> </w:t>
      </w:r>
    </w:p>
    <w:p w14:paraId="7A31DDAD" w14:textId="77777777" w:rsidR="00073187" w:rsidRPr="00F40EAB" w:rsidRDefault="00F40EAB">
      <w:pPr>
        <w:spacing w:line="276" w:lineRule="auto"/>
        <w:ind w:left="708" w:hanging="705"/>
        <w:rPr>
          <w:rFonts w:ascii="Arial" w:hAnsi="Arial" w:cs="Arial"/>
        </w:rPr>
      </w:pPr>
      <w:r w:rsidRPr="00F40EAB">
        <w:rPr>
          <w:rFonts w:ascii="Arial" w:hAnsi="Arial" w:cs="Arial"/>
        </w:rPr>
        <w:t xml:space="preserve">Franco Chávez, Y., &amp; Muñoz Mújica, R. J. (2025). </w:t>
      </w:r>
      <w:r w:rsidRPr="00F40EAB">
        <w:rPr>
          <w:rFonts w:ascii="Arial" w:hAnsi="Arial" w:cs="Arial"/>
          <w:i/>
          <w:iCs/>
        </w:rPr>
        <w:t>Las actitudes de los docentes frente a la implementación de la Reforma Educativa 2022: un estudio entre docentes de la Zona Escolar 13 en Querétaro</w:t>
      </w:r>
      <w:r w:rsidRPr="00F40EAB">
        <w:rPr>
          <w:rFonts w:ascii="Arial" w:hAnsi="Arial" w:cs="Arial"/>
        </w:rPr>
        <w:t xml:space="preserve"> [Tesis doctoral, Universidad Continente Americano]. Archivo institucional.</w:t>
      </w:r>
    </w:p>
    <w:p w14:paraId="3D724DF4" w14:textId="6330D18B" w:rsidR="003D0299" w:rsidRPr="00916FA5" w:rsidRDefault="003D0299">
      <w:pPr>
        <w:spacing w:line="276" w:lineRule="auto"/>
        <w:ind w:left="708" w:hanging="705"/>
        <w:rPr>
          <w:rFonts w:ascii="Arial" w:hAnsi="Arial" w:cs="Arial"/>
          <w:lang w:val="en-US"/>
        </w:rPr>
      </w:pPr>
      <w:r w:rsidRPr="00F40EAB">
        <w:rPr>
          <w:rFonts w:ascii="Arial" w:hAnsi="Arial" w:cs="Arial"/>
        </w:rPr>
        <w:t xml:space="preserve">González Cabrera, J. L. (2025). Metodologías activas de aprendizaje en la Educación Física mexicana. Un estudio de casos múltiple. </w:t>
      </w:r>
      <w:r w:rsidRPr="00F40EAB">
        <w:rPr>
          <w:rFonts w:ascii="Arial" w:hAnsi="Arial" w:cs="Arial"/>
          <w:i/>
          <w:iCs/>
        </w:rPr>
        <w:t>Revista del Centro de Investigación de la Universidad La Salle, 17</w:t>
      </w:r>
      <w:r w:rsidRPr="00F40EAB">
        <w:rPr>
          <w:rFonts w:ascii="Arial" w:hAnsi="Arial" w:cs="Arial"/>
        </w:rPr>
        <w:t xml:space="preserve">(65), 4428. </w:t>
      </w:r>
      <w:hyperlink r:id="rId12" w:history="1">
        <w:r w:rsidRPr="00916FA5">
          <w:rPr>
            <w:rStyle w:val="Hipervnculo"/>
            <w:rFonts w:ascii="Arial" w:hAnsi="Arial" w:cs="Arial"/>
            <w:color w:val="auto"/>
            <w:lang w:val="en-US"/>
          </w:rPr>
          <w:t>https://doi.org/10.26457/recein.2025.4428</w:t>
        </w:r>
      </w:hyperlink>
      <w:r w:rsidRPr="00916FA5">
        <w:rPr>
          <w:rFonts w:ascii="Arial" w:hAnsi="Arial" w:cs="Arial"/>
          <w:lang w:val="en-US"/>
        </w:rPr>
        <w:t xml:space="preserve"> </w:t>
      </w:r>
    </w:p>
    <w:p w14:paraId="66123BBE" w14:textId="77777777" w:rsidR="00073187" w:rsidRPr="00F40EAB" w:rsidRDefault="00F40EAB">
      <w:pPr>
        <w:spacing w:line="276" w:lineRule="auto"/>
        <w:ind w:left="708" w:hanging="705"/>
        <w:rPr>
          <w:rFonts w:ascii="Arial" w:hAnsi="Arial" w:cs="Arial"/>
        </w:rPr>
      </w:pPr>
      <w:r w:rsidRPr="00916FA5">
        <w:rPr>
          <w:rFonts w:ascii="Arial" w:hAnsi="Arial" w:cs="Arial"/>
          <w:lang w:val="en-US"/>
        </w:rPr>
        <w:t xml:space="preserve">Kiyani, M., Haider, I., &amp; Javed, F. (2020). Designing Freirean-Inspired Community Relevant STEAM Curriculum for Underserved Students in Pakistan Using Action Research Process. En </w:t>
      </w:r>
      <w:r w:rsidRPr="00916FA5">
        <w:rPr>
          <w:rFonts w:ascii="Arial" w:hAnsi="Arial" w:cs="Arial"/>
          <w:i/>
          <w:iCs/>
          <w:lang w:val="en-US"/>
        </w:rPr>
        <w:t>International Conference on Innovative Technologies and Learning</w:t>
      </w:r>
      <w:r w:rsidRPr="00916FA5">
        <w:rPr>
          <w:rFonts w:ascii="Arial" w:hAnsi="Arial" w:cs="Arial"/>
          <w:lang w:val="en-US"/>
        </w:rPr>
        <w:t xml:space="preserve"> (pp. 550-560). Springer. </w:t>
      </w:r>
      <w:hyperlink r:id="rId13">
        <w:r w:rsidR="00073187" w:rsidRPr="00F40EAB">
          <w:rPr>
            <w:rFonts w:ascii="Arial" w:hAnsi="Arial" w:cs="Arial"/>
            <w:u w:val="single"/>
          </w:rPr>
          <w:t>https://doi.org/10.1007/978-3-030-63885-6_58</w:t>
        </w:r>
      </w:hyperlink>
      <w:r w:rsidRPr="00F40EAB">
        <w:rPr>
          <w:rFonts w:ascii="Arial" w:hAnsi="Arial" w:cs="Arial"/>
        </w:rPr>
        <w:t xml:space="preserve"> </w:t>
      </w:r>
    </w:p>
    <w:p w14:paraId="648AE407" w14:textId="77777777" w:rsidR="00073187" w:rsidRPr="00916FA5" w:rsidRDefault="00F40EAB">
      <w:pPr>
        <w:spacing w:line="276" w:lineRule="auto"/>
        <w:ind w:left="708" w:hanging="705"/>
        <w:rPr>
          <w:rFonts w:ascii="Arial" w:hAnsi="Arial" w:cs="Arial"/>
          <w:lang w:val="en-US"/>
        </w:rPr>
      </w:pPr>
      <w:r w:rsidRPr="00F40EAB">
        <w:rPr>
          <w:rFonts w:ascii="Arial" w:hAnsi="Arial" w:cs="Arial"/>
        </w:rPr>
        <w:t xml:space="preserve">Lozano, A., López, R., Pereira, F. J., &amp; Blanco Fontao, C. (2022). </w:t>
      </w:r>
      <w:r w:rsidRPr="00916FA5">
        <w:rPr>
          <w:rFonts w:ascii="Arial" w:hAnsi="Arial" w:cs="Arial"/>
          <w:lang w:val="en-US"/>
        </w:rPr>
        <w:t xml:space="preserve">Impact of Cooperative Learning and Project-Based Learning through Emotional Intelligence: A Comparison of Methodologies for Implementing SDGs. </w:t>
      </w:r>
      <w:r w:rsidRPr="00916FA5">
        <w:rPr>
          <w:rFonts w:ascii="Arial" w:hAnsi="Arial" w:cs="Arial"/>
          <w:i/>
          <w:iCs/>
          <w:lang w:val="en-US"/>
        </w:rPr>
        <w:lastRenderedPageBreak/>
        <w:t>International Journal of Environmental Research and Public Health, 19</w:t>
      </w:r>
      <w:r w:rsidRPr="00916FA5">
        <w:rPr>
          <w:rFonts w:ascii="Arial" w:hAnsi="Arial" w:cs="Arial"/>
          <w:lang w:val="en-US"/>
        </w:rPr>
        <w:t xml:space="preserve">(24), 16977. </w:t>
      </w:r>
      <w:hyperlink r:id="rId14">
        <w:r w:rsidR="00073187" w:rsidRPr="00916FA5">
          <w:rPr>
            <w:rFonts w:ascii="Arial" w:hAnsi="Arial" w:cs="Arial"/>
            <w:u w:val="single"/>
            <w:lang w:val="en-US"/>
          </w:rPr>
          <w:t>https://doi.org/10.3390/ijerph192416977</w:t>
        </w:r>
      </w:hyperlink>
      <w:r w:rsidRPr="00916FA5">
        <w:rPr>
          <w:rFonts w:ascii="Arial" w:hAnsi="Arial" w:cs="Arial"/>
          <w:lang w:val="en-US"/>
        </w:rPr>
        <w:t xml:space="preserve"> </w:t>
      </w:r>
    </w:p>
    <w:p w14:paraId="3F5AD1FC" w14:textId="77777777" w:rsidR="00073187" w:rsidRPr="00F40EAB" w:rsidRDefault="00F40EAB">
      <w:pPr>
        <w:spacing w:line="276" w:lineRule="auto"/>
        <w:ind w:left="708" w:hanging="705"/>
        <w:rPr>
          <w:rFonts w:ascii="Arial" w:hAnsi="Arial" w:cs="Arial"/>
        </w:rPr>
      </w:pPr>
      <w:r w:rsidRPr="00F40EAB">
        <w:rPr>
          <w:rFonts w:ascii="Arial" w:hAnsi="Arial" w:cs="Arial"/>
        </w:rPr>
        <w:t xml:space="preserve">Macias Monroy, H. I. (2025). El Acompañamiento Directivo y su Impacto en la Práctica Docente: Percepciones en la Nueva Escuela Mexicana. </w:t>
      </w:r>
      <w:r w:rsidRPr="00F40EAB">
        <w:rPr>
          <w:rFonts w:ascii="Arial" w:hAnsi="Arial" w:cs="Arial"/>
          <w:i/>
          <w:iCs/>
        </w:rPr>
        <w:t>Ciencia Latina Revista Científica Multidisciplinar, 9</w:t>
      </w:r>
      <w:r w:rsidRPr="00F40EAB">
        <w:rPr>
          <w:rFonts w:ascii="Arial" w:hAnsi="Arial" w:cs="Arial"/>
        </w:rPr>
        <w:t xml:space="preserve">(6), 1-20. </w:t>
      </w:r>
      <w:hyperlink r:id="rId15">
        <w:r w:rsidR="00073187" w:rsidRPr="00F40EAB">
          <w:rPr>
            <w:rFonts w:ascii="Arial" w:hAnsi="Arial" w:cs="Arial"/>
            <w:u w:val="single"/>
          </w:rPr>
          <w:t>https://doi.org/10.37811/cl_rcm.v9i6.21376</w:t>
        </w:r>
      </w:hyperlink>
      <w:r w:rsidRPr="00F40EAB">
        <w:rPr>
          <w:rFonts w:ascii="Arial" w:hAnsi="Arial" w:cs="Arial"/>
        </w:rPr>
        <w:t xml:space="preserve"> </w:t>
      </w:r>
    </w:p>
    <w:p w14:paraId="65E518A7" w14:textId="2AA573B2" w:rsidR="003D0299" w:rsidRPr="00916FA5" w:rsidRDefault="00F40EAB" w:rsidP="003D0299">
      <w:pPr>
        <w:spacing w:line="276" w:lineRule="auto"/>
        <w:ind w:left="708" w:hanging="705"/>
        <w:rPr>
          <w:rFonts w:ascii="Arial" w:hAnsi="Arial" w:cs="Arial"/>
          <w:lang w:val="en-US"/>
        </w:rPr>
      </w:pPr>
      <w:r w:rsidRPr="00F40EAB">
        <w:rPr>
          <w:rFonts w:ascii="Arial" w:hAnsi="Arial" w:cs="Arial"/>
        </w:rPr>
        <w:t xml:space="preserve">Morocho Carrión, M. L., López Chávez, J. A., Rivas Chuya, F. P., &amp; Villagrán Yascaribay, M. J. (2025). Aprendizaje basado en problemas y proyectos: claves socio-constructivistas para la enseñanza en secundaria. </w:t>
      </w:r>
      <w:r w:rsidRPr="00916FA5">
        <w:rPr>
          <w:rFonts w:ascii="Arial" w:hAnsi="Arial" w:cs="Arial"/>
          <w:i/>
          <w:iCs/>
          <w:lang w:val="en-US"/>
        </w:rPr>
        <w:t>Sapiens Discoveries International Journal, 5</w:t>
      </w:r>
      <w:r w:rsidRPr="00916FA5">
        <w:rPr>
          <w:rFonts w:ascii="Arial" w:hAnsi="Arial" w:cs="Arial"/>
          <w:lang w:val="en-US"/>
        </w:rPr>
        <w:t xml:space="preserve">(1), 1-14. </w:t>
      </w:r>
      <w:hyperlink r:id="rId16">
        <w:r w:rsidR="003D0299" w:rsidRPr="00916FA5">
          <w:rPr>
            <w:rFonts w:ascii="Arial" w:hAnsi="Arial" w:cs="Arial"/>
            <w:u w:val="single"/>
            <w:lang w:val="en-US"/>
          </w:rPr>
          <w:t>https://doi.org/10.71068/vmwnye35</w:t>
        </w:r>
      </w:hyperlink>
      <w:r w:rsidRPr="00916FA5">
        <w:rPr>
          <w:rFonts w:ascii="Arial" w:hAnsi="Arial" w:cs="Arial"/>
          <w:lang w:val="en-US"/>
        </w:rPr>
        <w:t xml:space="preserve"> </w:t>
      </w:r>
    </w:p>
    <w:p w14:paraId="3F92D584" w14:textId="47DC2118" w:rsidR="003D0299" w:rsidRPr="00F40EAB" w:rsidRDefault="003D0299" w:rsidP="003D0299">
      <w:pPr>
        <w:spacing w:line="276" w:lineRule="auto"/>
        <w:ind w:left="708" w:hanging="705"/>
        <w:rPr>
          <w:rFonts w:ascii="Arial" w:hAnsi="Arial" w:cs="Arial"/>
        </w:rPr>
      </w:pPr>
      <w:r w:rsidRPr="00916FA5">
        <w:rPr>
          <w:rFonts w:ascii="Arial" w:hAnsi="Arial" w:cs="Arial"/>
          <w:lang w:val="en-US"/>
        </w:rPr>
        <w:t xml:space="preserve">Oropeza Sandoval, L. (2024). </w:t>
      </w:r>
      <w:r w:rsidRPr="00F40EAB">
        <w:rPr>
          <w:rFonts w:ascii="Arial" w:hAnsi="Arial" w:cs="Arial"/>
        </w:rPr>
        <w:t xml:space="preserve">Los profesores ante la Nueva Escuela Mexicana: una mirada desde la experiencia del magisterio jalisciense. </w:t>
      </w:r>
      <w:r w:rsidRPr="00F40EAB">
        <w:rPr>
          <w:rFonts w:ascii="Arial" w:hAnsi="Arial" w:cs="Arial"/>
          <w:i/>
          <w:iCs/>
        </w:rPr>
        <w:t>Diálogos sobre Educación, 15</w:t>
      </w:r>
      <w:r w:rsidRPr="00F40EAB">
        <w:rPr>
          <w:rFonts w:ascii="Arial" w:hAnsi="Arial" w:cs="Arial"/>
        </w:rPr>
        <w:t xml:space="preserve">(30). </w:t>
      </w:r>
      <w:hyperlink r:id="rId17" w:history="1">
        <w:r w:rsidRPr="00F40EAB">
          <w:rPr>
            <w:rStyle w:val="Hipervnculo"/>
            <w:rFonts w:ascii="Arial" w:hAnsi="Arial" w:cs="Arial"/>
            <w:color w:val="auto"/>
          </w:rPr>
          <w:t>https://doi.org/10.32870/dse.v0i30.1574</w:t>
        </w:r>
      </w:hyperlink>
      <w:r w:rsidRPr="00F40EAB">
        <w:rPr>
          <w:rFonts w:ascii="Arial" w:hAnsi="Arial" w:cs="Arial"/>
        </w:rPr>
        <w:t xml:space="preserve"> </w:t>
      </w:r>
    </w:p>
    <w:p w14:paraId="67DCE49A" w14:textId="5B2B39C6" w:rsidR="003D0299" w:rsidRPr="00F40EAB" w:rsidRDefault="003D0299" w:rsidP="003D0299">
      <w:pPr>
        <w:spacing w:line="276" w:lineRule="auto"/>
        <w:ind w:left="708" w:hanging="705"/>
        <w:rPr>
          <w:rFonts w:ascii="Arial" w:hAnsi="Arial" w:cs="Arial"/>
        </w:rPr>
      </w:pPr>
      <w:r w:rsidRPr="00F40EAB">
        <w:rPr>
          <w:rFonts w:ascii="Arial" w:hAnsi="Arial" w:cs="Arial"/>
        </w:rPr>
        <w:t xml:space="preserve">Pérez Angeles, L. Y., Olvera Cueyar, M., Sánchez Herrera, R. A., &amp; Aguilar Montiel, F. (2025). Implementación de estrategias didácticas innovadoras bajo el enfoque de la Nueva Escuela Mexicana en docentes de educación secundaria técnica. </w:t>
      </w:r>
      <w:r w:rsidRPr="00F40EAB">
        <w:rPr>
          <w:rFonts w:ascii="Arial" w:hAnsi="Arial" w:cs="Arial"/>
          <w:i/>
          <w:iCs/>
        </w:rPr>
        <w:t>Revista Latinoamericana de Calidad Educativa, 2</w:t>
      </w:r>
      <w:r w:rsidRPr="00F40EAB">
        <w:rPr>
          <w:rFonts w:ascii="Arial" w:hAnsi="Arial" w:cs="Arial"/>
        </w:rPr>
        <w:t xml:space="preserve">(4), 332-339. </w:t>
      </w:r>
      <w:hyperlink r:id="rId18" w:history="1">
        <w:r w:rsidRPr="00F40EAB">
          <w:rPr>
            <w:rStyle w:val="Hipervnculo"/>
            <w:rFonts w:ascii="Arial" w:hAnsi="Arial" w:cs="Arial"/>
            <w:color w:val="auto"/>
          </w:rPr>
          <w:t>https://doi.org/10.70625/rlce/335</w:t>
        </w:r>
      </w:hyperlink>
      <w:r w:rsidRPr="00F40EAB">
        <w:rPr>
          <w:rFonts w:ascii="Arial" w:hAnsi="Arial" w:cs="Arial"/>
        </w:rPr>
        <w:t xml:space="preserve"> </w:t>
      </w:r>
    </w:p>
    <w:p w14:paraId="396D8961" w14:textId="77777777" w:rsidR="00073187" w:rsidRPr="00F40EAB" w:rsidRDefault="00F40EAB">
      <w:pPr>
        <w:spacing w:line="276" w:lineRule="auto"/>
        <w:ind w:left="708" w:hanging="705"/>
        <w:rPr>
          <w:rFonts w:ascii="Arial" w:hAnsi="Arial" w:cs="Arial"/>
        </w:rPr>
      </w:pPr>
      <w:r w:rsidRPr="00F40EAB">
        <w:rPr>
          <w:rFonts w:ascii="Arial" w:hAnsi="Arial" w:cs="Arial"/>
        </w:rPr>
        <w:t xml:space="preserve">Portero, F. B., &amp; Medina, R. (2025). Estudio teórico sobre Metodologías Activas en la educación básica. </w:t>
      </w:r>
      <w:r w:rsidRPr="00F40EAB">
        <w:rPr>
          <w:rFonts w:ascii="Arial" w:hAnsi="Arial" w:cs="Arial"/>
          <w:i/>
          <w:iCs/>
        </w:rPr>
        <w:t>Espacios, 46</w:t>
      </w:r>
      <w:r w:rsidRPr="00F40EAB">
        <w:rPr>
          <w:rFonts w:ascii="Arial" w:hAnsi="Arial" w:cs="Arial"/>
        </w:rPr>
        <w:t xml:space="preserve">(1), 6. </w:t>
      </w:r>
      <w:hyperlink r:id="rId19">
        <w:r w:rsidR="00073187" w:rsidRPr="00F40EAB">
          <w:rPr>
            <w:rFonts w:ascii="Arial" w:hAnsi="Arial" w:cs="Arial"/>
            <w:u w:val="single"/>
          </w:rPr>
          <w:t>https://doi.org/10.48082/espacios-a25v46n01p06</w:t>
        </w:r>
      </w:hyperlink>
      <w:r w:rsidRPr="00F40EAB">
        <w:rPr>
          <w:rFonts w:ascii="Arial" w:hAnsi="Arial" w:cs="Arial"/>
        </w:rPr>
        <w:t xml:space="preserve"> </w:t>
      </w:r>
    </w:p>
    <w:p w14:paraId="7C99B6E0" w14:textId="209009C8" w:rsidR="003D0299" w:rsidRPr="00916FA5" w:rsidRDefault="003D0299">
      <w:pPr>
        <w:spacing w:line="276" w:lineRule="auto"/>
        <w:ind w:left="708" w:hanging="705"/>
        <w:rPr>
          <w:rFonts w:ascii="Arial" w:hAnsi="Arial" w:cs="Arial"/>
          <w:lang w:val="en-US"/>
        </w:rPr>
      </w:pPr>
      <w:r w:rsidRPr="00F40EAB">
        <w:rPr>
          <w:rFonts w:ascii="Arial" w:hAnsi="Arial" w:cs="Arial"/>
        </w:rPr>
        <w:t xml:space="preserve">Secretaría de Educación Pública. (s. f.). </w:t>
      </w:r>
      <w:r w:rsidRPr="00F40EAB">
        <w:rPr>
          <w:rFonts w:ascii="Arial" w:hAnsi="Arial" w:cs="Arial"/>
          <w:i/>
          <w:iCs/>
        </w:rPr>
        <w:t>Orientaciones para establecer el Sistema de Alerta Temprana en escuelas de educación básica</w:t>
      </w:r>
      <w:r w:rsidRPr="00F40EAB">
        <w:rPr>
          <w:rFonts w:ascii="Arial" w:hAnsi="Arial" w:cs="Arial"/>
        </w:rPr>
        <w:t xml:space="preserve">. </w:t>
      </w:r>
      <w:r w:rsidRPr="00916FA5">
        <w:rPr>
          <w:rFonts w:ascii="Arial" w:hAnsi="Arial" w:cs="Arial"/>
          <w:lang w:val="en-US"/>
        </w:rPr>
        <w:t xml:space="preserve">SEP. </w:t>
      </w:r>
      <w:hyperlink r:id="rId20" w:history="1">
        <w:r w:rsidRPr="00916FA5">
          <w:rPr>
            <w:rStyle w:val="Hipervnculo"/>
            <w:rFonts w:ascii="Arial" w:hAnsi="Arial" w:cs="Arial"/>
            <w:color w:val="auto"/>
            <w:lang w:val="en-US"/>
          </w:rPr>
          <w:t>https://www.gob.mx/cms/uploads/attachment/file/263956/Manual_Orientaciones_SisAT.pdf</w:t>
        </w:r>
      </w:hyperlink>
      <w:r w:rsidRPr="00916FA5">
        <w:rPr>
          <w:rFonts w:ascii="Arial" w:hAnsi="Arial" w:cs="Arial"/>
          <w:lang w:val="en-US"/>
        </w:rPr>
        <w:t xml:space="preserve"> </w:t>
      </w:r>
    </w:p>
    <w:p w14:paraId="70183D07" w14:textId="26E6CF36" w:rsidR="0059551B" w:rsidRPr="00F40EAB" w:rsidRDefault="0059551B">
      <w:pPr>
        <w:spacing w:line="276" w:lineRule="auto"/>
        <w:ind w:left="708" w:hanging="705"/>
        <w:rPr>
          <w:rFonts w:ascii="Arial" w:hAnsi="Arial" w:cs="Arial"/>
        </w:rPr>
      </w:pPr>
      <w:r w:rsidRPr="00F40EAB">
        <w:rPr>
          <w:rFonts w:ascii="Arial" w:hAnsi="Arial" w:cs="Arial"/>
        </w:rPr>
        <w:t xml:space="preserve">Sindicato Nacional de Trabajadores de la Educación. (2024). </w:t>
      </w:r>
      <w:r w:rsidRPr="00F40EAB">
        <w:rPr>
          <w:rFonts w:ascii="Arial" w:hAnsi="Arial" w:cs="Arial"/>
          <w:i/>
          <w:iCs/>
        </w:rPr>
        <w:t>Profundizando en el conocimiento de la Nueva Escuela Mexicana</w:t>
      </w:r>
      <w:r w:rsidRPr="00F40EAB">
        <w:rPr>
          <w:rFonts w:ascii="Arial" w:hAnsi="Arial" w:cs="Arial"/>
        </w:rPr>
        <w:t xml:space="preserve"> [Presentación]. SNTE. </w:t>
      </w:r>
      <w:hyperlink r:id="rId21" w:history="1">
        <w:r w:rsidRPr="00F40EAB">
          <w:rPr>
            <w:rStyle w:val="Hipervnculo"/>
            <w:rFonts w:ascii="Arial" w:hAnsi="Arial" w:cs="Arial"/>
            <w:color w:val="auto"/>
          </w:rPr>
          <w:t>https://cdnsnte1.snte.org.mx/wp-content/uploads/2024/02/21134621/Profundizando-en-el-conocimiento-de-la-NEM_21-02-2024-ok.pdf</w:t>
        </w:r>
      </w:hyperlink>
      <w:r w:rsidRPr="00F40EAB">
        <w:rPr>
          <w:rFonts w:ascii="Arial" w:hAnsi="Arial" w:cs="Arial"/>
        </w:rPr>
        <w:t xml:space="preserve"> </w:t>
      </w:r>
    </w:p>
    <w:p w14:paraId="3A3C1F63" w14:textId="77777777" w:rsidR="00073187" w:rsidRPr="00F40EAB" w:rsidRDefault="00F40EAB">
      <w:pPr>
        <w:spacing w:line="276" w:lineRule="auto"/>
        <w:ind w:left="708" w:hanging="705"/>
        <w:rPr>
          <w:rFonts w:ascii="Arial" w:hAnsi="Arial" w:cs="Arial"/>
        </w:rPr>
      </w:pPr>
      <w:r w:rsidRPr="00F40EAB">
        <w:rPr>
          <w:rFonts w:ascii="Arial" w:hAnsi="Arial" w:cs="Arial"/>
        </w:rPr>
        <w:t xml:space="preserve">Trejo-Trejo, G. A., Domínguez-Gutú, J., Gordillo-Espinoza, E., &amp; Constantino-González, F. E. (2024). </w:t>
      </w:r>
      <w:r w:rsidRPr="00916FA5">
        <w:rPr>
          <w:rFonts w:ascii="Arial" w:hAnsi="Arial" w:cs="Arial"/>
          <w:lang w:val="en-US"/>
        </w:rPr>
        <w:t xml:space="preserve">Developing 21st century skills: A proposal for a didactic sequence with a STEAM approach and active methodologies for basic education students in the Mexican Southeast. </w:t>
      </w:r>
      <w:r w:rsidRPr="00F40EAB">
        <w:rPr>
          <w:rFonts w:ascii="Arial" w:hAnsi="Arial" w:cs="Arial"/>
          <w:i/>
          <w:iCs/>
        </w:rPr>
        <w:t>ECORFAN Journal Colombia, 10</w:t>
      </w:r>
      <w:r w:rsidRPr="00F40EAB">
        <w:rPr>
          <w:rFonts w:ascii="Arial" w:hAnsi="Arial" w:cs="Arial"/>
        </w:rPr>
        <w:t xml:space="preserve">(18), 1-8. </w:t>
      </w:r>
      <w:hyperlink r:id="rId22">
        <w:r w:rsidR="00073187" w:rsidRPr="00F40EAB">
          <w:rPr>
            <w:rFonts w:ascii="Arial" w:hAnsi="Arial" w:cs="Arial"/>
            <w:u w:val="single"/>
          </w:rPr>
          <w:t>https://doi.org/10.35429/ejc.2024.10.18.1.8</w:t>
        </w:r>
      </w:hyperlink>
      <w:r w:rsidRPr="00F40EAB">
        <w:rPr>
          <w:rFonts w:ascii="Arial" w:hAnsi="Arial" w:cs="Arial"/>
        </w:rPr>
        <w:t xml:space="preserve"> </w:t>
      </w:r>
    </w:p>
    <w:p w14:paraId="717ACC52" w14:textId="685ACE93" w:rsidR="003D0299" w:rsidRPr="00F40EAB" w:rsidRDefault="003D0299">
      <w:pPr>
        <w:spacing w:line="276" w:lineRule="auto"/>
        <w:ind w:left="708" w:hanging="705"/>
        <w:rPr>
          <w:rFonts w:ascii="Arial" w:hAnsi="Arial" w:cs="Arial"/>
        </w:rPr>
      </w:pPr>
      <w:r w:rsidRPr="00F40EAB">
        <w:rPr>
          <w:rFonts w:ascii="Arial" w:hAnsi="Arial" w:cs="Arial"/>
        </w:rPr>
        <w:t xml:space="preserve">Vázquez, K., &amp; Esparza Puga, D. S. (2025). Las voces de los docentes de matemáticas: Experiencias y perspectivas sobre la implementación de la </w:t>
      </w:r>
      <w:r w:rsidRPr="00F40EAB">
        <w:rPr>
          <w:rFonts w:ascii="Arial" w:hAnsi="Arial" w:cs="Arial"/>
        </w:rPr>
        <w:lastRenderedPageBreak/>
        <w:t xml:space="preserve">Nueva Escuela Mexicana en bachillerato. </w:t>
      </w:r>
      <w:r w:rsidRPr="00F40EAB">
        <w:rPr>
          <w:rFonts w:ascii="Arial" w:hAnsi="Arial" w:cs="Arial"/>
          <w:i/>
          <w:iCs/>
        </w:rPr>
        <w:t>Revista Enseñanza de las Matemáticas y Experiencias Docentes, 1</w:t>
      </w:r>
      <w:r w:rsidRPr="00F40EAB">
        <w:rPr>
          <w:rFonts w:ascii="Arial" w:hAnsi="Arial" w:cs="Arial"/>
        </w:rPr>
        <w:t xml:space="preserve">(3), 83-98. </w:t>
      </w:r>
      <w:hyperlink r:id="rId23" w:history="1">
        <w:r w:rsidRPr="00F40EAB">
          <w:rPr>
            <w:rStyle w:val="Hipervnculo"/>
            <w:rFonts w:ascii="Arial" w:hAnsi="Arial" w:cs="Arial"/>
            <w:color w:val="auto"/>
          </w:rPr>
          <w:t>https://doi.org/10.24844/REMED/0103.05</w:t>
        </w:r>
      </w:hyperlink>
      <w:r w:rsidRPr="00F40EAB">
        <w:rPr>
          <w:rFonts w:ascii="Arial" w:hAnsi="Arial" w:cs="Arial"/>
        </w:rPr>
        <w:t xml:space="preserve"> </w:t>
      </w:r>
    </w:p>
    <w:p w14:paraId="17EFA0E2" w14:textId="3A47B8B9" w:rsidR="0038043D" w:rsidRDefault="0038043D">
      <w:pPr>
        <w:spacing w:line="276" w:lineRule="auto"/>
        <w:ind w:left="708" w:hanging="705"/>
        <w:rPr>
          <w:rFonts w:ascii="Arial" w:hAnsi="Arial" w:cs="Arial"/>
          <w:lang w:val="en-US"/>
        </w:rPr>
      </w:pPr>
      <w:r w:rsidRPr="0038043D">
        <w:rPr>
          <w:rFonts w:ascii="Arial" w:hAnsi="Arial" w:cs="Arial"/>
        </w:rPr>
        <w:t xml:space="preserve">Vidal-Salgado, C., Del Ángel-Hernández, S., Ortiz-Oviedo, M. D., Medina-Reyes, D., Navarro-Hernández, E., &amp; González-Ordoñez, G. (2025). Aprendizaje basado en proyectos de vida: una estrategia integral para la formación personal y social. </w:t>
      </w:r>
      <w:r w:rsidRPr="0038043D">
        <w:rPr>
          <w:rFonts w:ascii="Arial" w:hAnsi="Arial" w:cs="Arial"/>
          <w:lang w:val="en-US"/>
        </w:rPr>
        <w:t>Sophia Research R</w:t>
      </w:r>
      <w:r>
        <w:rPr>
          <w:rFonts w:ascii="Arial" w:hAnsi="Arial" w:cs="Arial"/>
          <w:lang w:val="en-US"/>
        </w:rPr>
        <w:t>eview, 2(1), 10-12.</w:t>
      </w:r>
      <w:r w:rsidRPr="0038043D">
        <w:t xml:space="preserve"> </w:t>
      </w:r>
      <w:r w:rsidRPr="0038043D">
        <w:rPr>
          <w:rFonts w:ascii="Arial" w:hAnsi="Arial" w:cs="Arial"/>
          <w:lang w:val="en-US"/>
        </w:rPr>
        <w:t>https://doi.org/10.64092/xdfyn568</w:t>
      </w:r>
    </w:p>
    <w:p w14:paraId="5D775F3A" w14:textId="77777777" w:rsidR="0038043D" w:rsidRDefault="0038043D">
      <w:pPr>
        <w:spacing w:line="276" w:lineRule="auto"/>
        <w:ind w:left="708" w:hanging="705"/>
        <w:rPr>
          <w:rFonts w:ascii="Arial" w:hAnsi="Arial" w:cs="Arial"/>
          <w:lang w:val="es-ES"/>
        </w:rPr>
      </w:pPr>
    </w:p>
    <w:p w14:paraId="4BAACD42" w14:textId="42F3A437" w:rsidR="00073187" w:rsidRPr="00F40EAB" w:rsidRDefault="00F40EAB">
      <w:pPr>
        <w:spacing w:line="276" w:lineRule="auto"/>
        <w:ind w:left="708" w:hanging="705"/>
        <w:rPr>
          <w:rFonts w:ascii="Arial" w:hAnsi="Arial" w:cs="Arial"/>
          <w:b/>
          <w:bCs/>
        </w:rPr>
      </w:pPr>
      <w:r w:rsidRPr="0038043D">
        <w:rPr>
          <w:rFonts w:ascii="Arial" w:hAnsi="Arial" w:cs="Arial"/>
          <w:lang w:val="es-ES"/>
        </w:rPr>
        <w:t xml:space="preserve">Videla, R., Aguayo, C., &amp; Veloz, T. (2021). </w:t>
      </w:r>
      <w:r w:rsidRPr="00916FA5">
        <w:rPr>
          <w:rFonts w:ascii="Arial" w:hAnsi="Arial" w:cs="Arial"/>
          <w:lang w:val="en-US"/>
        </w:rPr>
        <w:t xml:space="preserve">From STEM to STEAM: An Enactive and Ecological Continuum. </w:t>
      </w:r>
      <w:r w:rsidRPr="00F40EAB">
        <w:rPr>
          <w:rFonts w:ascii="Arial" w:hAnsi="Arial" w:cs="Arial"/>
          <w:i/>
          <w:iCs/>
        </w:rPr>
        <w:t>Frontiers in Education, 6</w:t>
      </w:r>
      <w:r w:rsidRPr="00F40EAB">
        <w:rPr>
          <w:rFonts w:ascii="Arial" w:hAnsi="Arial" w:cs="Arial"/>
        </w:rPr>
        <w:t xml:space="preserve">, 709560. </w:t>
      </w:r>
      <w:hyperlink r:id="rId24">
        <w:r w:rsidR="00073187" w:rsidRPr="00F40EAB">
          <w:rPr>
            <w:rFonts w:ascii="Arial" w:hAnsi="Arial" w:cs="Arial"/>
            <w:u w:val="single"/>
          </w:rPr>
          <w:t>https://doi.org/10.3389/feduc.2021.709560</w:t>
        </w:r>
      </w:hyperlink>
      <w:r w:rsidRPr="00F40EAB">
        <w:rPr>
          <w:rFonts w:ascii="Arial" w:hAnsi="Arial" w:cs="Arial"/>
        </w:rPr>
        <w:t xml:space="preserve"> </w:t>
      </w:r>
    </w:p>
    <w:p w14:paraId="3758158C" w14:textId="77777777" w:rsidR="00992FF8" w:rsidRPr="00F40EAB" w:rsidRDefault="00992FF8">
      <w:pPr>
        <w:spacing w:line="276" w:lineRule="auto"/>
        <w:ind w:left="708" w:hanging="705"/>
        <w:rPr>
          <w:rFonts w:ascii="Arial" w:hAnsi="Arial" w:cs="Arial"/>
          <w:b/>
          <w:bCs/>
        </w:rPr>
      </w:pPr>
    </w:p>
    <w:sectPr w:rsidR="00992FF8" w:rsidRPr="00F40EAB" w:rsidSect="00DD2798">
      <w:headerReference w:type="even" r:id="rId25"/>
      <w:headerReference w:type="default" r:id="rId26"/>
      <w:footerReference w:type="even" r:id="rId27"/>
      <w:footerReference w:type="default" r:id="rId28"/>
      <w:headerReference w:type="first" r:id="rId29"/>
      <w:footerReference w:type="first" r:id="rId30"/>
      <w:pgSz w:w="11907" w:h="16840"/>
      <w:pgMar w:top="2694" w:right="1440" w:bottom="1440" w:left="1440" w:header="709" w:footer="807" w:gutter="0"/>
      <w:pgNumType w:start="98"/>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D2DD0" w14:textId="77777777" w:rsidR="00911333" w:rsidRDefault="00911333">
      <w:r>
        <w:separator/>
      </w:r>
    </w:p>
  </w:endnote>
  <w:endnote w:type="continuationSeparator" w:id="0">
    <w:p w14:paraId="7316514E" w14:textId="77777777" w:rsidR="00911333" w:rsidRDefault="00911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5922C" w14:textId="3B5F0797" w:rsidR="00073187" w:rsidRPr="00916FA5" w:rsidRDefault="00F504E2">
    <w:pPr>
      <w:shd w:val="clear" w:color="auto" w:fill="FFFFFF"/>
      <w:jc w:val="right"/>
      <w:rPr>
        <w:b/>
        <w:bCs/>
        <w:color w:val="595959"/>
        <w:sz w:val="18"/>
        <w:szCs w:val="18"/>
        <w:lang w:val="en-US"/>
      </w:rPr>
    </w:pPr>
    <w:r>
      <w:rPr>
        <w:noProof/>
        <w:lang w:val="es-ES" w:eastAsia="es-ES"/>
      </w:rPr>
      <mc:AlternateContent>
        <mc:Choice Requires="wps">
          <w:drawing>
            <wp:anchor distT="0" distB="0" distL="114300" distR="114300" simplePos="0" relativeHeight="251683840" behindDoc="0" locked="0" layoutInCell="1" allowOverlap="1" wp14:anchorId="28176E5F" wp14:editId="0868A7E2">
              <wp:simplePos x="0" y="0"/>
              <wp:positionH relativeFrom="margin">
                <wp:align>left</wp:align>
              </wp:positionH>
              <wp:positionV relativeFrom="paragraph">
                <wp:posOffset>-38735</wp:posOffset>
              </wp:positionV>
              <wp:extent cx="5760000" cy="0"/>
              <wp:effectExtent l="0" t="0" r="31750" b="19050"/>
              <wp:wrapNone/>
              <wp:docPr id="20" name="Conector recto 20"/>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4B687E9" id="Conector recto 20" o:spid="_x0000_s1026" style="position:absolute;z-index:2516838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3.05pt" to="453.5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" strokecolor="black [3040]">
              <w10:wrap anchorx="margin"/>
            </v:line>
          </w:pict>
        </mc:Fallback>
      </mc:AlternateContent>
    </w:r>
    <w:r w:rsidRPr="00916FA5">
      <w:rPr>
        <w:b/>
        <w:bCs/>
        <w:color w:val="595959"/>
        <w:sz w:val="18"/>
        <w:szCs w:val="18"/>
        <w:lang w:val="en-US"/>
      </w:rPr>
      <w:t>RSEUS, Montevideo, 14(1), 98-115, 2026</w:t>
    </w:r>
  </w:p>
  <w:p w14:paraId="6AC57CF2" w14:textId="77777777" w:rsidR="00073187" w:rsidRPr="00916FA5" w:rsidRDefault="00F40EAB">
    <w:pPr>
      <w:pBdr>
        <w:top w:val="nil"/>
        <w:left w:val="nil"/>
        <w:bottom w:val="nil"/>
        <w:right w:val="nil"/>
        <w:between w:val="nil"/>
      </w:pBdr>
      <w:tabs>
        <w:tab w:val="center" w:pos="4252"/>
        <w:tab w:val="right" w:pos="8504"/>
        <w:tab w:val="left" w:pos="1500"/>
      </w:tabs>
      <w:ind w:firstLine="1416"/>
      <w:jc w:val="right"/>
      <w:rPr>
        <w:rFonts w:ascii="Cambria" w:eastAsia="Cambria" w:hAnsi="Cambria" w:cs="Cambria"/>
        <w:b/>
        <w:bCs/>
        <w:color w:val="595959"/>
        <w:sz w:val="18"/>
        <w:szCs w:val="18"/>
        <w:lang w:val="en-US"/>
      </w:rPr>
    </w:pPr>
    <w:r w:rsidRPr="00916FA5">
      <w:rPr>
        <w:rFonts w:ascii="Cambria" w:eastAsia="Cambria" w:hAnsi="Cambria" w:cs="Cambria"/>
        <w:b/>
        <w:bCs/>
        <w:color w:val="595959"/>
        <w:sz w:val="18"/>
        <w:szCs w:val="18"/>
        <w:lang w:val="en-US"/>
      </w:rPr>
      <w:tab/>
    </w:r>
    <w:hyperlink r:id="rId1">
      <w:r w:rsidR="00073187" w:rsidRPr="00916FA5">
        <w:rPr>
          <w:rFonts w:ascii="Cambria" w:eastAsia="Cambria" w:hAnsi="Cambria" w:cs="Cambria"/>
          <w:b/>
          <w:bCs/>
          <w:color w:val="0563C1"/>
          <w:sz w:val="18"/>
          <w:szCs w:val="18"/>
          <w:u w:val="single"/>
          <w:lang w:val="en-US"/>
        </w:rPr>
        <w:t>https://rifedu.ude.edu.uy/index.php/RSEUS</w:t>
      </w:r>
    </w:hyperlink>
    <w:r>
      <w:rPr>
        <w:noProof/>
        <w:lang w:val="es-ES" w:eastAsia="es-ES"/>
      </w:rPr>
      <w:drawing>
        <wp:anchor distT="0" distB="0" distL="114300" distR="114300" simplePos="0" relativeHeight="251666432" behindDoc="0" locked="0" layoutInCell="1" hidden="0" allowOverlap="1" wp14:anchorId="52F1D6F8" wp14:editId="22D0B7AC">
          <wp:simplePos x="0" y="0"/>
          <wp:positionH relativeFrom="column">
            <wp:posOffset>3</wp:posOffset>
          </wp:positionH>
          <wp:positionV relativeFrom="paragraph">
            <wp:posOffset>4445</wp:posOffset>
          </wp:positionV>
          <wp:extent cx="824459" cy="457200"/>
          <wp:effectExtent l="0" t="0" r="0" b="0"/>
          <wp:wrapSquare wrapText="bothSides" distT="0" distB="0" distL="114300" distR="114300"/>
          <wp:docPr id="65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824459" cy="457200"/>
                  </a:xfrm>
                  <a:prstGeom prst="rect">
                    <a:avLst/>
                  </a:prstGeom>
                  <a:ln/>
                </pic:spPr>
              </pic:pic>
            </a:graphicData>
          </a:graphic>
        </wp:anchor>
      </w:drawing>
    </w:r>
  </w:p>
  <w:p w14:paraId="35573D63" w14:textId="77777777" w:rsidR="00073187" w:rsidRPr="00916FA5" w:rsidRDefault="00073187">
    <w:pPr>
      <w:pBdr>
        <w:top w:val="nil"/>
        <w:left w:val="nil"/>
        <w:bottom w:val="nil"/>
        <w:right w:val="nil"/>
        <w:between w:val="nil"/>
      </w:pBdr>
      <w:tabs>
        <w:tab w:val="center" w:pos="4252"/>
        <w:tab w:val="right" w:pos="8504"/>
        <w:tab w:val="left" w:pos="1500"/>
      </w:tabs>
      <w:ind w:firstLine="1416"/>
      <w:jc w:val="right"/>
      <w:rPr>
        <w:rFonts w:ascii="Cambria" w:eastAsia="Cambria" w:hAnsi="Cambria" w:cs="Cambria"/>
        <w:b/>
        <w:bCs/>
        <w:color w:val="595959"/>
        <w:sz w:val="18"/>
        <w:szCs w:val="18"/>
        <w:lang w:val="en-US"/>
      </w:rPr>
    </w:pPr>
  </w:p>
  <w:p w14:paraId="6EDAC0F9" w14:textId="77777777" w:rsidR="00073187" w:rsidRDefault="00F40EAB">
    <w:pPr>
      <w:pBdr>
        <w:top w:val="nil"/>
        <w:left w:val="nil"/>
        <w:bottom w:val="nil"/>
        <w:right w:val="nil"/>
        <w:between w:val="nil"/>
      </w:pBdr>
      <w:tabs>
        <w:tab w:val="center" w:pos="4252"/>
        <w:tab w:val="right" w:pos="8504"/>
        <w:tab w:val="left" w:pos="1500"/>
      </w:tabs>
      <w:jc w:val="right"/>
      <w:rPr>
        <w:rFonts w:ascii="Cambria" w:eastAsia="Cambria" w:hAnsi="Cambria" w:cs="Cambria"/>
        <w:b/>
        <w:bCs/>
        <w:color w:val="595959"/>
        <w:sz w:val="18"/>
        <w:szCs w:val="18"/>
      </w:rPr>
    </w:pPr>
    <w:r>
      <w:rPr>
        <w:rFonts w:ascii="Cambria" w:eastAsia="Cambria" w:hAnsi="Cambria" w:cs="Cambria"/>
        <w:b/>
        <w:bCs/>
        <w:color w:val="595959"/>
        <w:sz w:val="18"/>
        <w:szCs w:val="18"/>
      </w:rPr>
      <w:t>Soriano 959 – Montevideo – Uruguay Tel. 598.2900.2442 revistaseducacion@ude.edu.uy</w:t>
    </w:r>
  </w:p>
  <w:p w14:paraId="592A11A2" w14:textId="77777777" w:rsidR="00073187" w:rsidRDefault="00073187">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2C725" w14:textId="7B2706B6" w:rsidR="00073187" w:rsidRPr="00916FA5" w:rsidRDefault="00D41429">
    <w:pPr>
      <w:shd w:val="clear" w:color="auto" w:fill="FFFFFF"/>
      <w:jc w:val="right"/>
      <w:rPr>
        <w:b/>
        <w:bCs/>
        <w:sz w:val="18"/>
        <w:szCs w:val="18"/>
        <w:lang w:val="en-US"/>
      </w:rPr>
    </w:pPr>
    <w:r w:rsidRPr="00C743AB">
      <w:rPr>
        <w:b/>
        <w:bCs/>
        <w:noProof/>
        <w:color w:val="595959"/>
        <w:sz w:val="18"/>
        <w:szCs w:val="18"/>
        <w:lang w:val="es-ES" w:eastAsia="es-ES"/>
      </w:rPr>
      <mc:AlternateContent>
        <mc:Choice Requires="wps">
          <w:drawing>
            <wp:anchor distT="0" distB="0" distL="114300" distR="114300" simplePos="0" relativeHeight="251675648" behindDoc="0" locked="0" layoutInCell="1" allowOverlap="1" wp14:anchorId="56257FAE" wp14:editId="69BDDB92">
              <wp:simplePos x="0" y="0"/>
              <wp:positionH relativeFrom="margin">
                <wp:posOffset>-13335</wp:posOffset>
              </wp:positionH>
              <wp:positionV relativeFrom="paragraph">
                <wp:posOffset>-29845</wp:posOffset>
              </wp:positionV>
              <wp:extent cx="5760000" cy="0"/>
              <wp:effectExtent l="0" t="0" r="31750" b="19050"/>
              <wp:wrapNone/>
              <wp:docPr id="16" name="Conector recto 16"/>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4ECE07D" id="Conector recto 16" o:spid="_x0000_s1026" style="position:absolute;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05pt,-2.35pt" to="45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" strokecolor="black [3040]">
              <w10:wrap anchorx="margin"/>
            </v:line>
          </w:pict>
        </mc:Fallback>
      </mc:AlternateContent>
    </w:r>
    <w:r w:rsidR="00F504E2" w:rsidRPr="00916FA5">
      <w:rPr>
        <w:b/>
        <w:bCs/>
        <w:color w:val="595959"/>
        <w:sz w:val="18"/>
        <w:szCs w:val="18"/>
        <w:lang w:val="en-US"/>
      </w:rPr>
      <w:t>RSEUS, Montevideo, 14(1), 98-115, 2026</w:t>
    </w:r>
  </w:p>
  <w:p w14:paraId="432EA989" w14:textId="77777777" w:rsidR="00073187" w:rsidRPr="00916FA5" w:rsidRDefault="00F40EAB">
    <w:pPr>
      <w:pBdr>
        <w:top w:val="nil"/>
        <w:left w:val="nil"/>
        <w:bottom w:val="nil"/>
        <w:right w:val="nil"/>
        <w:between w:val="nil"/>
      </w:pBdr>
      <w:tabs>
        <w:tab w:val="center" w:pos="4252"/>
        <w:tab w:val="right" w:pos="8504"/>
        <w:tab w:val="left" w:pos="1500"/>
      </w:tabs>
      <w:ind w:firstLine="1416"/>
      <w:jc w:val="right"/>
      <w:rPr>
        <w:rFonts w:ascii="Cambria" w:eastAsia="Cambria" w:hAnsi="Cambria" w:cs="Cambria"/>
        <w:b/>
        <w:bCs/>
        <w:sz w:val="18"/>
        <w:szCs w:val="18"/>
        <w:lang w:val="en-US"/>
      </w:rPr>
    </w:pPr>
    <w:r w:rsidRPr="00916FA5">
      <w:rPr>
        <w:rFonts w:ascii="Cambria" w:eastAsia="Cambria" w:hAnsi="Cambria" w:cs="Cambria"/>
        <w:b/>
        <w:bCs/>
        <w:sz w:val="18"/>
        <w:szCs w:val="18"/>
        <w:lang w:val="en-US"/>
      </w:rPr>
      <w:tab/>
    </w:r>
    <w:hyperlink r:id="rId1">
      <w:r w:rsidR="00073187" w:rsidRPr="00916FA5">
        <w:rPr>
          <w:rFonts w:ascii="Cambria" w:eastAsia="Cambria" w:hAnsi="Cambria" w:cs="Cambria"/>
          <w:b/>
          <w:bCs/>
          <w:color w:val="0563C1"/>
          <w:sz w:val="18"/>
          <w:szCs w:val="18"/>
          <w:u w:val="single"/>
          <w:lang w:val="en-US"/>
        </w:rPr>
        <w:t>https://rifedu.ude.edu.uy/index.php/RSEUS</w:t>
      </w:r>
    </w:hyperlink>
    <w:r w:rsidRPr="00F40EAB">
      <w:rPr>
        <w:noProof/>
        <w:lang w:val="es-ES" w:eastAsia="es-ES"/>
      </w:rPr>
      <w:drawing>
        <wp:anchor distT="0" distB="0" distL="114300" distR="114300" simplePos="0" relativeHeight="251662336" behindDoc="0" locked="0" layoutInCell="1" hidden="0" allowOverlap="1" wp14:anchorId="4BFF1AC3" wp14:editId="14B2794B">
          <wp:simplePos x="0" y="0"/>
          <wp:positionH relativeFrom="column">
            <wp:posOffset>3</wp:posOffset>
          </wp:positionH>
          <wp:positionV relativeFrom="paragraph">
            <wp:posOffset>4445</wp:posOffset>
          </wp:positionV>
          <wp:extent cx="824459" cy="457200"/>
          <wp:effectExtent l="0" t="0" r="0" b="0"/>
          <wp:wrapSquare wrapText="bothSides" distT="0" distB="0" distL="114300" distR="114300"/>
          <wp:docPr id="65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824459" cy="457200"/>
                  </a:xfrm>
                  <a:prstGeom prst="rect">
                    <a:avLst/>
                  </a:prstGeom>
                  <a:ln/>
                </pic:spPr>
              </pic:pic>
            </a:graphicData>
          </a:graphic>
        </wp:anchor>
      </w:drawing>
    </w:r>
  </w:p>
  <w:p w14:paraId="702AD777" w14:textId="690AD6AD" w:rsidR="00073187" w:rsidRPr="00916FA5" w:rsidRDefault="00073187">
    <w:pPr>
      <w:pBdr>
        <w:top w:val="nil"/>
        <w:left w:val="nil"/>
        <w:bottom w:val="nil"/>
        <w:right w:val="nil"/>
        <w:between w:val="nil"/>
      </w:pBdr>
      <w:tabs>
        <w:tab w:val="center" w:pos="4252"/>
        <w:tab w:val="right" w:pos="8504"/>
        <w:tab w:val="left" w:pos="1500"/>
      </w:tabs>
      <w:ind w:firstLine="1416"/>
      <w:jc w:val="right"/>
      <w:rPr>
        <w:rFonts w:ascii="Cambria" w:eastAsia="Cambria" w:hAnsi="Cambria" w:cs="Cambria"/>
        <w:b/>
        <w:bCs/>
        <w:sz w:val="18"/>
        <w:szCs w:val="18"/>
        <w:lang w:val="en-US"/>
      </w:rPr>
    </w:pPr>
  </w:p>
  <w:p w14:paraId="3698E33F" w14:textId="6F211FE9" w:rsidR="00073187" w:rsidRPr="00C743AB" w:rsidRDefault="00F40EAB">
    <w:pPr>
      <w:pBdr>
        <w:top w:val="nil"/>
        <w:left w:val="nil"/>
        <w:bottom w:val="nil"/>
        <w:right w:val="nil"/>
        <w:between w:val="nil"/>
      </w:pBdr>
      <w:tabs>
        <w:tab w:val="center" w:pos="4252"/>
        <w:tab w:val="right" w:pos="8504"/>
        <w:tab w:val="left" w:pos="1500"/>
      </w:tabs>
      <w:jc w:val="right"/>
      <w:rPr>
        <w:b/>
        <w:bCs/>
        <w:color w:val="595959"/>
        <w:sz w:val="18"/>
        <w:szCs w:val="18"/>
      </w:rPr>
    </w:pPr>
    <w:r w:rsidRPr="00C743AB">
      <w:rPr>
        <w:b/>
        <w:bCs/>
        <w:color w:val="595959"/>
        <w:sz w:val="18"/>
        <w:szCs w:val="18"/>
      </w:rPr>
      <w:t>Soriano 959 – Montevideo – Uruguay Tel. 598.2900.2442 revistaseducacion@ude.edu.uy</w:t>
    </w:r>
  </w:p>
  <w:p w14:paraId="2252BAD6" w14:textId="6A88DD27" w:rsidR="00073187" w:rsidRPr="00F40EAB" w:rsidRDefault="00073187">
    <w:pPr>
      <w:pBdr>
        <w:top w:val="nil"/>
        <w:left w:val="nil"/>
        <w:bottom w:val="nil"/>
        <w:right w:val="nil"/>
        <w:between w:val="nil"/>
      </w:pBdr>
      <w:tabs>
        <w:tab w:val="center" w:pos="4252"/>
        <w:tab w:val="right" w:pos="8504"/>
      </w:tabs>
      <w:rPr>
        <w:rFonts w:ascii="Cambria" w:eastAsia="Cambria" w:hAnsi="Cambria" w:cs="Cambria"/>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8E79B" w14:textId="664C360D" w:rsidR="00073187" w:rsidRPr="00916FA5" w:rsidRDefault="00C743AB">
    <w:pPr>
      <w:shd w:val="clear" w:color="auto" w:fill="FFFFFF"/>
      <w:jc w:val="right"/>
      <w:rPr>
        <w:b/>
        <w:bCs/>
        <w:color w:val="595959"/>
        <w:sz w:val="18"/>
        <w:szCs w:val="18"/>
        <w:lang w:val="en-US"/>
      </w:rPr>
    </w:pPr>
    <w:r>
      <w:rPr>
        <w:noProof/>
        <w:lang w:val="es-ES" w:eastAsia="es-ES"/>
      </w:rPr>
      <mc:AlternateContent>
        <mc:Choice Requires="wps">
          <w:drawing>
            <wp:anchor distT="0" distB="0" distL="114300" distR="114300" simplePos="0" relativeHeight="251679744" behindDoc="0" locked="0" layoutInCell="1" allowOverlap="1" wp14:anchorId="6EC8942F" wp14:editId="4F2D22DD">
              <wp:simplePos x="0" y="0"/>
              <wp:positionH relativeFrom="margin">
                <wp:posOffset>-13335</wp:posOffset>
              </wp:positionH>
              <wp:positionV relativeFrom="paragraph">
                <wp:posOffset>-10160</wp:posOffset>
              </wp:positionV>
              <wp:extent cx="5760000" cy="0"/>
              <wp:effectExtent l="0" t="0" r="31750" b="19050"/>
              <wp:wrapNone/>
              <wp:docPr id="18" name="Conector recto 18"/>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3427DA4" id="Conector recto 18" o:spid="_x0000_s1026" style="position:absolute;z-index:2516797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05pt,-.8pt" to="45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" strokecolor="black [3040]">
              <w10:wrap anchorx="margin"/>
            </v:line>
          </w:pict>
        </mc:Fallback>
      </mc:AlternateContent>
    </w:r>
    <w:r w:rsidRPr="00916FA5">
      <w:rPr>
        <w:b/>
        <w:bCs/>
        <w:color w:val="595959"/>
        <w:sz w:val="18"/>
        <w:szCs w:val="18"/>
        <w:lang w:val="en-US"/>
      </w:rPr>
      <w:t>RSEUS, Montevideo, 14(1</w:t>
    </w:r>
    <w:r w:rsidR="00F504E2" w:rsidRPr="00916FA5">
      <w:rPr>
        <w:b/>
        <w:bCs/>
        <w:color w:val="595959"/>
        <w:sz w:val="18"/>
        <w:szCs w:val="18"/>
        <w:lang w:val="en-US"/>
      </w:rPr>
      <w:t>), 98-115, 2026</w:t>
    </w:r>
  </w:p>
  <w:p w14:paraId="4BE9DACF" w14:textId="77777777" w:rsidR="00073187" w:rsidRPr="00916FA5" w:rsidRDefault="00F40EAB">
    <w:pPr>
      <w:pBdr>
        <w:top w:val="nil"/>
        <w:left w:val="nil"/>
        <w:bottom w:val="nil"/>
        <w:right w:val="nil"/>
        <w:between w:val="nil"/>
      </w:pBdr>
      <w:tabs>
        <w:tab w:val="center" w:pos="4252"/>
        <w:tab w:val="right" w:pos="8504"/>
        <w:tab w:val="left" w:pos="1500"/>
      </w:tabs>
      <w:ind w:firstLine="1416"/>
      <w:jc w:val="right"/>
      <w:rPr>
        <w:rFonts w:ascii="Cambria" w:eastAsia="Cambria" w:hAnsi="Cambria" w:cs="Cambria"/>
        <w:b/>
        <w:bCs/>
        <w:color w:val="595959"/>
        <w:sz w:val="18"/>
        <w:szCs w:val="18"/>
        <w:lang w:val="en-US"/>
      </w:rPr>
    </w:pPr>
    <w:r w:rsidRPr="00916FA5">
      <w:rPr>
        <w:rFonts w:ascii="Cambria" w:eastAsia="Cambria" w:hAnsi="Cambria" w:cs="Cambria"/>
        <w:b/>
        <w:bCs/>
        <w:color w:val="595959"/>
        <w:sz w:val="18"/>
        <w:szCs w:val="18"/>
        <w:lang w:val="en-US"/>
      </w:rPr>
      <w:tab/>
    </w:r>
    <w:hyperlink r:id="rId1">
      <w:r w:rsidR="00073187" w:rsidRPr="00916FA5">
        <w:rPr>
          <w:rFonts w:ascii="Cambria" w:eastAsia="Cambria" w:hAnsi="Cambria" w:cs="Cambria"/>
          <w:b/>
          <w:bCs/>
          <w:color w:val="0563C1"/>
          <w:sz w:val="18"/>
          <w:szCs w:val="18"/>
          <w:u w:val="single"/>
          <w:lang w:val="en-US"/>
        </w:rPr>
        <w:t>https://rifedu.ude.edu.uy/index.php/RSEUS</w:t>
      </w:r>
    </w:hyperlink>
    <w:r>
      <w:rPr>
        <w:noProof/>
        <w:lang w:val="es-ES" w:eastAsia="es-ES"/>
      </w:rPr>
      <w:drawing>
        <wp:anchor distT="0" distB="0" distL="114300" distR="114300" simplePos="0" relativeHeight="251664384" behindDoc="0" locked="0" layoutInCell="1" hidden="0" allowOverlap="1" wp14:anchorId="7F9CD84F" wp14:editId="3F2345C3">
          <wp:simplePos x="0" y="0"/>
          <wp:positionH relativeFrom="column">
            <wp:posOffset>3</wp:posOffset>
          </wp:positionH>
          <wp:positionV relativeFrom="paragraph">
            <wp:posOffset>4445</wp:posOffset>
          </wp:positionV>
          <wp:extent cx="824459" cy="457200"/>
          <wp:effectExtent l="0" t="0" r="0" b="0"/>
          <wp:wrapSquare wrapText="bothSides" distT="0" distB="0" distL="114300" distR="114300"/>
          <wp:docPr id="65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824459" cy="457200"/>
                  </a:xfrm>
                  <a:prstGeom prst="rect">
                    <a:avLst/>
                  </a:prstGeom>
                  <a:ln/>
                </pic:spPr>
              </pic:pic>
            </a:graphicData>
          </a:graphic>
        </wp:anchor>
      </w:drawing>
    </w:r>
  </w:p>
  <w:p w14:paraId="657C0533" w14:textId="77777777" w:rsidR="00073187" w:rsidRPr="00916FA5" w:rsidRDefault="00073187">
    <w:pPr>
      <w:pBdr>
        <w:top w:val="nil"/>
        <w:left w:val="nil"/>
        <w:bottom w:val="nil"/>
        <w:right w:val="nil"/>
        <w:between w:val="nil"/>
      </w:pBdr>
      <w:tabs>
        <w:tab w:val="center" w:pos="4252"/>
        <w:tab w:val="right" w:pos="8504"/>
        <w:tab w:val="left" w:pos="1500"/>
      </w:tabs>
      <w:ind w:firstLine="1416"/>
      <w:jc w:val="right"/>
      <w:rPr>
        <w:rFonts w:ascii="Cambria" w:eastAsia="Cambria" w:hAnsi="Cambria" w:cs="Cambria"/>
        <w:b/>
        <w:bCs/>
        <w:color w:val="595959"/>
        <w:sz w:val="18"/>
        <w:szCs w:val="18"/>
        <w:lang w:val="en-US"/>
      </w:rPr>
    </w:pPr>
  </w:p>
  <w:p w14:paraId="61E052BD" w14:textId="77777777" w:rsidR="00073187" w:rsidRDefault="00F40EAB">
    <w:pPr>
      <w:pBdr>
        <w:top w:val="nil"/>
        <w:left w:val="nil"/>
        <w:bottom w:val="nil"/>
        <w:right w:val="nil"/>
        <w:between w:val="nil"/>
      </w:pBdr>
      <w:tabs>
        <w:tab w:val="center" w:pos="4252"/>
        <w:tab w:val="right" w:pos="8504"/>
        <w:tab w:val="left" w:pos="1500"/>
      </w:tabs>
      <w:jc w:val="right"/>
      <w:rPr>
        <w:rFonts w:ascii="Cambria" w:eastAsia="Cambria" w:hAnsi="Cambria" w:cs="Cambria"/>
        <w:b/>
        <w:bCs/>
        <w:color w:val="595959"/>
        <w:sz w:val="18"/>
        <w:szCs w:val="18"/>
      </w:rPr>
    </w:pPr>
    <w:r>
      <w:rPr>
        <w:rFonts w:ascii="Cambria" w:eastAsia="Cambria" w:hAnsi="Cambria" w:cs="Cambria"/>
        <w:b/>
        <w:bCs/>
        <w:color w:val="595959"/>
        <w:sz w:val="18"/>
        <w:szCs w:val="18"/>
      </w:rPr>
      <w:t>Soriano 959 – Montevideo – Uruguay Tel. 598.2900.2442 revistaseducacion@ude.edu.uy</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7915C" w14:textId="77777777" w:rsidR="00911333" w:rsidRDefault="00911333">
      <w:r>
        <w:separator/>
      </w:r>
    </w:p>
  </w:footnote>
  <w:footnote w:type="continuationSeparator" w:id="0">
    <w:p w14:paraId="439F508A" w14:textId="77777777" w:rsidR="00911333" w:rsidRDefault="00911333">
      <w:r>
        <w:continuationSeparator/>
      </w:r>
    </w:p>
  </w:footnote>
  <w:footnote w:id="1">
    <w:p w14:paraId="47381571" w14:textId="77777777" w:rsidR="00073187" w:rsidRPr="00DA7103" w:rsidRDefault="00F40EAB">
      <w:pPr>
        <w:pBdr>
          <w:top w:val="nil"/>
          <w:left w:val="nil"/>
          <w:bottom w:val="nil"/>
          <w:right w:val="nil"/>
          <w:between w:val="nil"/>
        </w:pBdr>
        <w:spacing w:after="120"/>
        <w:ind w:right="-187"/>
        <w:rPr>
          <w:rFonts w:ascii="Arial" w:hAnsi="Arial" w:cs="Arial"/>
          <w:color w:val="000000"/>
          <w:sz w:val="20"/>
          <w:szCs w:val="20"/>
        </w:rPr>
      </w:pPr>
      <w:r w:rsidRPr="00DA7103">
        <w:rPr>
          <w:rFonts w:ascii="Arial" w:hAnsi="Arial" w:cs="Arial"/>
          <w:vertAlign w:val="superscript"/>
        </w:rPr>
        <w:footnoteRef/>
      </w:r>
      <w:r w:rsidRPr="00DA7103">
        <w:rPr>
          <w:rFonts w:ascii="Arial" w:hAnsi="Arial" w:cs="Arial"/>
          <w:color w:val="000000"/>
          <w:sz w:val="20"/>
          <w:szCs w:val="20"/>
        </w:rPr>
        <w:t xml:space="preserve"> </w:t>
      </w:r>
      <w:r w:rsidRPr="00DA7103">
        <w:rPr>
          <w:rFonts w:ascii="Arial" w:hAnsi="Arial" w:cs="Arial"/>
          <w:sz w:val="20"/>
          <w:szCs w:val="20"/>
        </w:rPr>
        <w:t>Maestra en Pedagogía</w:t>
      </w:r>
      <w:r w:rsidRPr="00DA7103">
        <w:rPr>
          <w:rFonts w:ascii="Arial" w:hAnsi="Arial" w:cs="Arial"/>
          <w:color w:val="000000"/>
          <w:sz w:val="20"/>
          <w:szCs w:val="20"/>
        </w:rPr>
        <w:t xml:space="preserve">, </w:t>
      </w:r>
      <w:r w:rsidRPr="00DA7103">
        <w:rPr>
          <w:rFonts w:ascii="Arial" w:hAnsi="Arial" w:cs="Arial"/>
          <w:sz w:val="20"/>
          <w:szCs w:val="20"/>
        </w:rPr>
        <w:t>Universidad Continente Americano</w:t>
      </w:r>
      <w:r w:rsidRPr="00DA7103">
        <w:rPr>
          <w:rFonts w:ascii="Arial" w:hAnsi="Arial" w:cs="Arial"/>
          <w:color w:val="000000"/>
          <w:sz w:val="20"/>
          <w:szCs w:val="20"/>
        </w:rPr>
        <w:t xml:space="preserve">, </w:t>
      </w:r>
      <w:r w:rsidRPr="00DA7103">
        <w:rPr>
          <w:rFonts w:ascii="Arial" w:hAnsi="Arial" w:cs="Arial"/>
          <w:sz w:val="20"/>
          <w:szCs w:val="20"/>
        </w:rPr>
        <w:t>División de Posgrado</w:t>
      </w:r>
      <w:r w:rsidRPr="00DA7103">
        <w:rPr>
          <w:rFonts w:ascii="Arial" w:hAnsi="Arial" w:cs="Arial"/>
          <w:color w:val="000000"/>
          <w:sz w:val="20"/>
          <w:szCs w:val="20"/>
        </w:rPr>
        <w:t xml:space="preserve">, </w:t>
      </w:r>
      <w:r w:rsidRPr="00DA7103">
        <w:rPr>
          <w:rFonts w:ascii="Arial" w:hAnsi="Arial" w:cs="Arial"/>
          <w:sz w:val="20"/>
          <w:szCs w:val="20"/>
        </w:rPr>
        <w:t>Celaya</w:t>
      </w:r>
      <w:r w:rsidRPr="00DA7103">
        <w:rPr>
          <w:rFonts w:ascii="Arial" w:hAnsi="Arial" w:cs="Arial"/>
          <w:color w:val="000000"/>
          <w:sz w:val="20"/>
          <w:szCs w:val="20"/>
        </w:rPr>
        <w:t xml:space="preserve">, </w:t>
      </w:r>
      <w:r w:rsidRPr="00DA7103">
        <w:rPr>
          <w:rFonts w:ascii="Arial" w:hAnsi="Arial" w:cs="Arial"/>
          <w:sz w:val="20"/>
          <w:szCs w:val="20"/>
        </w:rPr>
        <w:t>México</w:t>
      </w:r>
      <w:r w:rsidRPr="00DA7103">
        <w:rPr>
          <w:rFonts w:ascii="Arial" w:hAnsi="Arial" w:cs="Arial"/>
          <w:color w:val="000000"/>
          <w:sz w:val="20"/>
          <w:szCs w:val="20"/>
        </w:rPr>
        <w:t xml:space="preserve"> y </w:t>
      </w:r>
      <w:hyperlink r:id="rId1">
        <w:r w:rsidR="00073187" w:rsidRPr="00DA7103">
          <w:rPr>
            <w:rFonts w:ascii="Arial" w:hAnsi="Arial" w:cs="Arial"/>
            <w:color w:val="1155CC"/>
            <w:sz w:val="20"/>
            <w:szCs w:val="20"/>
            <w:u w:val="single"/>
          </w:rPr>
          <w:t>24220705@uca.edu.mx</w:t>
        </w:r>
      </w:hyperlink>
      <w:r w:rsidRPr="00DA7103">
        <w:rPr>
          <w:rFonts w:ascii="Arial" w:hAnsi="Arial" w:cs="Arial"/>
          <w:color w:val="000000"/>
          <w:sz w:val="20"/>
          <w:szCs w:val="20"/>
        </w:rPr>
        <w:t>,</w:t>
      </w:r>
      <w:r w:rsidRPr="00DA7103">
        <w:rPr>
          <w:rFonts w:ascii="Arial" w:hAnsi="Arial" w:cs="Arial"/>
          <w:sz w:val="20"/>
          <w:szCs w:val="20"/>
        </w:rPr>
        <w:t xml:space="preserve"> </w:t>
      </w:r>
      <w:hyperlink r:id="rId2">
        <w:r w:rsidR="00073187" w:rsidRPr="00DA7103">
          <w:rPr>
            <w:rFonts w:ascii="Arial" w:hAnsi="Arial" w:cs="Arial"/>
            <w:color w:val="1155CC"/>
            <w:sz w:val="20"/>
            <w:szCs w:val="20"/>
            <w:u w:val="single"/>
          </w:rPr>
          <w:t>https://orcid.org/0009-0009-6321-6929</w:t>
        </w:r>
      </w:hyperlink>
      <w:r w:rsidRPr="00DA7103">
        <w:rPr>
          <w:rFonts w:ascii="Arial" w:hAnsi="Arial" w:cs="Arial"/>
          <w:sz w:val="20"/>
          <w:szCs w:val="20"/>
        </w:rPr>
        <w:t xml:space="preserve"> </w:t>
      </w:r>
      <w:r w:rsidRPr="00DA7103">
        <w:rPr>
          <w:rFonts w:ascii="Arial" w:hAnsi="Arial" w:cs="Arial"/>
          <w:color w:val="000000"/>
          <w:sz w:val="20"/>
          <w:szCs w:val="20"/>
        </w:rPr>
        <w:t xml:space="preserve"> </w:t>
      </w:r>
      <w:r w:rsidRPr="00DA7103">
        <w:rPr>
          <w:rFonts w:ascii="Arial" w:hAnsi="Arial" w:cs="Arial"/>
          <w:sz w:val="20"/>
          <w:szCs w:val="20"/>
        </w:rPr>
        <w:t>Porcentaje de autoría: 25</w:t>
      </w:r>
      <w:r w:rsidRPr="00DA7103">
        <w:rPr>
          <w:rFonts w:ascii="Arial" w:hAnsi="Arial" w:cs="Arial"/>
          <w:color w:val="000000"/>
          <w:sz w:val="20"/>
          <w:szCs w:val="20"/>
        </w:rPr>
        <w:t>%</w:t>
      </w:r>
    </w:p>
  </w:footnote>
  <w:footnote w:id="2">
    <w:p w14:paraId="4D9B7474" w14:textId="77777777" w:rsidR="00073187" w:rsidRPr="00DA7103" w:rsidRDefault="00F40EAB">
      <w:pPr>
        <w:pBdr>
          <w:top w:val="nil"/>
          <w:left w:val="nil"/>
          <w:bottom w:val="nil"/>
          <w:right w:val="nil"/>
          <w:between w:val="nil"/>
        </w:pBdr>
        <w:spacing w:after="120"/>
        <w:ind w:right="-187"/>
        <w:rPr>
          <w:rFonts w:ascii="Arial" w:hAnsi="Arial" w:cs="Arial"/>
          <w:color w:val="000000"/>
          <w:sz w:val="20"/>
          <w:szCs w:val="20"/>
        </w:rPr>
      </w:pPr>
      <w:r w:rsidRPr="00DA7103">
        <w:rPr>
          <w:rFonts w:ascii="Arial" w:hAnsi="Arial" w:cs="Arial"/>
          <w:vertAlign w:val="superscript"/>
        </w:rPr>
        <w:footnoteRef/>
      </w:r>
      <w:r w:rsidRPr="00DA7103">
        <w:rPr>
          <w:rFonts w:ascii="Arial" w:hAnsi="Arial" w:cs="Arial"/>
          <w:color w:val="000000"/>
          <w:sz w:val="20"/>
          <w:szCs w:val="20"/>
        </w:rPr>
        <w:t xml:space="preserve"> </w:t>
      </w:r>
      <w:r w:rsidRPr="00DA7103">
        <w:rPr>
          <w:rFonts w:ascii="Arial" w:hAnsi="Arial" w:cs="Arial"/>
          <w:sz w:val="20"/>
          <w:szCs w:val="20"/>
        </w:rPr>
        <w:t>Maestra en Pedagogía</w:t>
      </w:r>
      <w:r w:rsidRPr="00DA7103">
        <w:rPr>
          <w:rFonts w:ascii="Arial" w:hAnsi="Arial" w:cs="Arial"/>
          <w:color w:val="000000"/>
          <w:sz w:val="20"/>
          <w:szCs w:val="20"/>
        </w:rPr>
        <w:t xml:space="preserve">, </w:t>
      </w:r>
      <w:r w:rsidRPr="00DA7103">
        <w:rPr>
          <w:rFonts w:ascii="Arial" w:hAnsi="Arial" w:cs="Arial"/>
          <w:sz w:val="20"/>
          <w:szCs w:val="20"/>
        </w:rPr>
        <w:t>Universidad Continente Americano</w:t>
      </w:r>
      <w:r w:rsidRPr="00DA7103">
        <w:rPr>
          <w:rFonts w:ascii="Arial" w:hAnsi="Arial" w:cs="Arial"/>
          <w:color w:val="000000"/>
          <w:sz w:val="20"/>
          <w:szCs w:val="20"/>
        </w:rPr>
        <w:t xml:space="preserve">, </w:t>
      </w:r>
      <w:r w:rsidRPr="00DA7103">
        <w:rPr>
          <w:rFonts w:ascii="Arial" w:hAnsi="Arial" w:cs="Arial"/>
          <w:sz w:val="20"/>
          <w:szCs w:val="20"/>
        </w:rPr>
        <w:t>División de Posgrado</w:t>
      </w:r>
      <w:r w:rsidRPr="00DA7103">
        <w:rPr>
          <w:rFonts w:ascii="Arial" w:hAnsi="Arial" w:cs="Arial"/>
          <w:color w:val="000000"/>
          <w:sz w:val="20"/>
          <w:szCs w:val="20"/>
        </w:rPr>
        <w:t xml:space="preserve">, </w:t>
      </w:r>
      <w:r w:rsidRPr="00DA7103">
        <w:rPr>
          <w:rFonts w:ascii="Arial" w:hAnsi="Arial" w:cs="Arial"/>
          <w:sz w:val="20"/>
          <w:szCs w:val="20"/>
        </w:rPr>
        <w:t>Celaya</w:t>
      </w:r>
      <w:r w:rsidRPr="00DA7103">
        <w:rPr>
          <w:rFonts w:ascii="Arial" w:hAnsi="Arial" w:cs="Arial"/>
          <w:color w:val="000000"/>
          <w:sz w:val="20"/>
          <w:szCs w:val="20"/>
        </w:rPr>
        <w:t xml:space="preserve">, </w:t>
      </w:r>
      <w:r w:rsidRPr="00DA7103">
        <w:rPr>
          <w:rFonts w:ascii="Arial" w:hAnsi="Arial" w:cs="Arial"/>
          <w:sz w:val="20"/>
          <w:szCs w:val="20"/>
        </w:rPr>
        <w:t>México</w:t>
      </w:r>
      <w:r w:rsidRPr="00DA7103">
        <w:rPr>
          <w:rFonts w:ascii="Arial" w:hAnsi="Arial" w:cs="Arial"/>
          <w:color w:val="000000"/>
          <w:sz w:val="20"/>
          <w:szCs w:val="20"/>
        </w:rPr>
        <w:t xml:space="preserve"> y </w:t>
      </w:r>
      <w:hyperlink r:id="rId3">
        <w:r w:rsidR="00073187" w:rsidRPr="00DA7103">
          <w:rPr>
            <w:rFonts w:ascii="Arial" w:hAnsi="Arial" w:cs="Arial"/>
            <w:color w:val="1155CC"/>
            <w:sz w:val="20"/>
            <w:szCs w:val="20"/>
            <w:u w:val="single"/>
          </w:rPr>
          <w:t>24220764@uca.edu.mx</w:t>
        </w:r>
      </w:hyperlink>
      <w:r w:rsidRPr="00DA7103">
        <w:rPr>
          <w:rFonts w:ascii="Arial" w:hAnsi="Arial" w:cs="Arial"/>
          <w:color w:val="000000"/>
          <w:sz w:val="20"/>
          <w:szCs w:val="20"/>
        </w:rPr>
        <w:t xml:space="preserve">, </w:t>
      </w:r>
      <w:hyperlink r:id="rId4">
        <w:r w:rsidR="00073187" w:rsidRPr="00DA7103">
          <w:rPr>
            <w:rFonts w:ascii="Arial" w:hAnsi="Arial" w:cs="Arial"/>
            <w:color w:val="1155CC"/>
            <w:sz w:val="20"/>
            <w:szCs w:val="20"/>
            <w:u w:val="single"/>
          </w:rPr>
          <w:t>https://orcid.org/0009-0001-0115-4461</w:t>
        </w:r>
      </w:hyperlink>
      <w:r w:rsidRPr="00DA7103">
        <w:rPr>
          <w:rFonts w:ascii="Arial" w:hAnsi="Arial" w:cs="Arial"/>
          <w:sz w:val="20"/>
          <w:szCs w:val="20"/>
        </w:rPr>
        <w:t xml:space="preserve"> Porcentaje de autoría: 25</w:t>
      </w:r>
      <w:r w:rsidRPr="00DA7103">
        <w:rPr>
          <w:rFonts w:ascii="Arial" w:hAnsi="Arial" w:cs="Arial"/>
          <w:color w:val="000000"/>
          <w:sz w:val="20"/>
          <w:szCs w:val="20"/>
        </w:rPr>
        <w:t>%</w:t>
      </w:r>
    </w:p>
  </w:footnote>
  <w:footnote w:id="3">
    <w:p w14:paraId="5FCF6F43" w14:textId="636EB547" w:rsidR="00073187" w:rsidRPr="00DA7103" w:rsidRDefault="00F40EAB">
      <w:pPr>
        <w:pBdr>
          <w:top w:val="nil"/>
          <w:left w:val="nil"/>
          <w:bottom w:val="nil"/>
          <w:right w:val="nil"/>
          <w:between w:val="nil"/>
        </w:pBdr>
        <w:spacing w:after="120"/>
        <w:ind w:right="-187"/>
        <w:rPr>
          <w:rFonts w:ascii="Arial" w:hAnsi="Arial" w:cs="Arial"/>
          <w:sz w:val="20"/>
          <w:szCs w:val="20"/>
        </w:rPr>
      </w:pPr>
      <w:r w:rsidRPr="00DA7103">
        <w:rPr>
          <w:rFonts w:ascii="Arial" w:hAnsi="Arial" w:cs="Arial"/>
          <w:vertAlign w:val="superscript"/>
        </w:rPr>
        <w:footnoteRef/>
      </w:r>
      <w:r w:rsidRPr="00DA7103">
        <w:rPr>
          <w:rFonts w:ascii="Arial" w:hAnsi="Arial" w:cs="Arial"/>
          <w:color w:val="000000"/>
          <w:sz w:val="20"/>
          <w:szCs w:val="20"/>
          <w:vertAlign w:val="superscript"/>
        </w:rPr>
        <w:t xml:space="preserve"> </w:t>
      </w:r>
      <w:r w:rsidRPr="00DA7103">
        <w:rPr>
          <w:rFonts w:ascii="Arial" w:hAnsi="Arial" w:cs="Arial"/>
          <w:sz w:val="20"/>
          <w:szCs w:val="20"/>
        </w:rPr>
        <w:t xml:space="preserve">Doctor en Tecnología Educativa, Universidad Continente Americano, Docente, División de Posgrado, Celaya, </w:t>
      </w:r>
      <w:r w:rsidRPr="00D1338F">
        <w:rPr>
          <w:rFonts w:ascii="Arial" w:hAnsi="Arial" w:cs="Arial"/>
          <w:sz w:val="20"/>
          <w:szCs w:val="20"/>
        </w:rPr>
        <w:t>M</w:t>
      </w:r>
      <w:r w:rsidR="00672333" w:rsidRPr="00D1338F">
        <w:rPr>
          <w:rFonts w:ascii="Arial" w:hAnsi="Arial" w:cs="Arial"/>
          <w:sz w:val="20"/>
          <w:szCs w:val="20"/>
        </w:rPr>
        <w:t>é</w:t>
      </w:r>
      <w:r w:rsidRPr="00D1338F">
        <w:rPr>
          <w:rFonts w:ascii="Arial" w:hAnsi="Arial" w:cs="Arial"/>
          <w:sz w:val="20"/>
          <w:szCs w:val="20"/>
        </w:rPr>
        <w:t xml:space="preserve">xico </w:t>
      </w:r>
      <w:r w:rsidRPr="00DA7103">
        <w:rPr>
          <w:rFonts w:ascii="Arial" w:hAnsi="Arial" w:cs="Arial"/>
          <w:sz w:val="20"/>
          <w:szCs w:val="20"/>
        </w:rPr>
        <w:t xml:space="preserve">y c.roberto.munoz@uca.edu.mx, </w:t>
      </w:r>
      <w:hyperlink r:id="rId5">
        <w:r w:rsidR="00073187" w:rsidRPr="00DA7103">
          <w:rPr>
            <w:rFonts w:ascii="Arial" w:hAnsi="Arial" w:cs="Arial"/>
            <w:color w:val="1155CC"/>
            <w:sz w:val="20"/>
            <w:szCs w:val="20"/>
            <w:u w:val="single"/>
          </w:rPr>
          <w:t>https://orcid.org/0000-0002-7326-634X</w:t>
        </w:r>
      </w:hyperlink>
      <w:r w:rsidRPr="00DA7103">
        <w:rPr>
          <w:rFonts w:ascii="Arial" w:hAnsi="Arial" w:cs="Arial"/>
          <w:sz w:val="20"/>
          <w:szCs w:val="20"/>
        </w:rPr>
        <w:t>, Porcentaje de autoría: 45%</w:t>
      </w:r>
    </w:p>
  </w:footnote>
  <w:footnote w:id="4">
    <w:p w14:paraId="33EC5779" w14:textId="41C67B53" w:rsidR="00073187" w:rsidRPr="00DA7103" w:rsidRDefault="00F40EAB">
      <w:pPr>
        <w:spacing w:after="120"/>
        <w:ind w:right="-187"/>
        <w:rPr>
          <w:rFonts w:ascii="Arial" w:hAnsi="Arial" w:cs="Arial"/>
          <w:sz w:val="20"/>
          <w:szCs w:val="20"/>
        </w:rPr>
      </w:pPr>
      <w:r w:rsidRPr="00DA7103">
        <w:rPr>
          <w:rFonts w:ascii="Arial" w:hAnsi="Arial" w:cs="Arial"/>
          <w:vertAlign w:val="superscript"/>
        </w:rPr>
        <w:footnoteRef/>
      </w:r>
      <w:r w:rsidRPr="00DA7103">
        <w:rPr>
          <w:rFonts w:ascii="Arial" w:hAnsi="Arial" w:cs="Arial"/>
          <w:sz w:val="20"/>
          <w:szCs w:val="20"/>
          <w:vertAlign w:val="superscript"/>
        </w:rPr>
        <w:t xml:space="preserve"> </w:t>
      </w:r>
      <w:r w:rsidRPr="00D1338F">
        <w:rPr>
          <w:rFonts w:ascii="Arial" w:hAnsi="Arial" w:cs="Arial"/>
          <w:sz w:val="20"/>
          <w:szCs w:val="20"/>
        </w:rPr>
        <w:t xml:space="preserve">Doctora en </w:t>
      </w:r>
      <w:r w:rsidRPr="00DA7103">
        <w:rPr>
          <w:rFonts w:ascii="Arial" w:hAnsi="Arial" w:cs="Arial"/>
          <w:sz w:val="20"/>
          <w:szCs w:val="20"/>
        </w:rPr>
        <w:t xml:space="preserve">Dirección del Talento Humano, Universidad Continente Americano, División de Posgrado, Celaya, México y </w:t>
      </w:r>
      <w:hyperlink r:id="rId6">
        <w:r w:rsidR="00073187" w:rsidRPr="00DA7103">
          <w:rPr>
            <w:rFonts w:ascii="Arial" w:hAnsi="Arial" w:cs="Arial"/>
            <w:color w:val="1155CC"/>
            <w:sz w:val="20"/>
            <w:szCs w:val="20"/>
            <w:u w:val="single"/>
          </w:rPr>
          <w:t>c.alma.navarrete@uca.edu.mx</w:t>
        </w:r>
      </w:hyperlink>
      <w:r w:rsidRPr="00DA7103">
        <w:rPr>
          <w:rFonts w:ascii="Arial" w:hAnsi="Arial" w:cs="Arial"/>
          <w:sz w:val="20"/>
          <w:szCs w:val="20"/>
        </w:rPr>
        <w:t xml:space="preserve">, </w:t>
      </w:r>
      <w:hyperlink r:id="rId7">
        <w:r w:rsidR="00073187" w:rsidRPr="00DA7103">
          <w:rPr>
            <w:rFonts w:ascii="Arial" w:hAnsi="Arial" w:cs="Arial"/>
            <w:color w:val="1155CC"/>
            <w:sz w:val="20"/>
            <w:szCs w:val="20"/>
            <w:u w:val="single"/>
          </w:rPr>
          <w:t>https://orcid.org/0000-0001-8507-3652</w:t>
        </w:r>
      </w:hyperlink>
      <w:r w:rsidRPr="00DA7103">
        <w:rPr>
          <w:rFonts w:ascii="Arial" w:hAnsi="Arial" w:cs="Arial"/>
          <w:sz w:val="20"/>
          <w:szCs w:val="20"/>
        </w:rPr>
        <w:t xml:space="preserve"> Porcentaje de autoría: 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 w:val="18"/>
        <w:szCs w:val="18"/>
      </w:rPr>
      <w:id w:val="41028320"/>
      <w:docPartObj>
        <w:docPartGallery w:val="Page Numbers (Margins)"/>
        <w:docPartUnique/>
      </w:docPartObj>
    </w:sdtPr>
    <w:sdtEndPr/>
    <w:sdtContent>
      <w:p w14:paraId="7DAA6A00" w14:textId="504EFC7C" w:rsidR="00073187" w:rsidRPr="00DA7103" w:rsidRDefault="00DD2798">
        <w:pPr>
          <w:pBdr>
            <w:top w:val="nil"/>
            <w:left w:val="nil"/>
            <w:bottom w:val="nil"/>
            <w:right w:val="nil"/>
            <w:between w:val="nil"/>
          </w:pBdr>
          <w:tabs>
            <w:tab w:val="center" w:pos="4419"/>
            <w:tab w:val="right" w:pos="8838"/>
          </w:tabs>
          <w:rPr>
            <w:b/>
            <w:bCs/>
            <w:sz w:val="18"/>
            <w:szCs w:val="18"/>
          </w:rPr>
        </w:pPr>
        <w:r w:rsidRPr="00DD2798">
          <w:rPr>
            <w:b/>
            <w:bCs/>
            <w:noProof/>
            <w:sz w:val="18"/>
            <w:szCs w:val="18"/>
            <w:lang w:val="es-ES" w:eastAsia="es-ES"/>
          </w:rPr>
          <mc:AlternateContent>
            <mc:Choice Requires="wpg">
              <w:drawing>
                <wp:anchor distT="0" distB="0" distL="114300" distR="114300" simplePos="0" relativeHeight="251672576" behindDoc="0" locked="0" layoutInCell="0" allowOverlap="1" wp14:anchorId="6BEE4FBB" wp14:editId="558812BE">
                  <wp:simplePos x="0" y="0"/>
                  <wp:positionH relativeFrom="rightMargin">
                    <wp:align>center</wp:align>
                  </wp:positionH>
                  <mc:AlternateContent>
                    <mc:Choice Requires="wp14">
                      <wp:positionV relativeFrom="page">
                        <wp14:pctPosVOffset>20000</wp14:pctPosVOffset>
                      </wp:positionV>
                    </mc:Choice>
                    <mc:Fallback>
                      <wp:positionV relativeFrom="page">
                        <wp:posOffset>2138680</wp:posOffset>
                      </wp:positionV>
                    </mc:Fallback>
                  </mc:AlternateContent>
                  <wp:extent cx="488315" cy="237490"/>
                  <wp:effectExtent l="0" t="9525" r="0" b="10160"/>
                  <wp:wrapNone/>
                  <wp:docPr id="6" name="Gru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7"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59D0A" w14:textId="412EABBA" w:rsidR="00DD2798" w:rsidRDefault="00DD2798">
                                <w:pPr>
                                  <w:pStyle w:val="Encabezado"/>
                                  <w:jc w:val="center"/>
                                </w:pPr>
                                <w:r>
                                  <w:rPr>
                                    <w:sz w:val="22"/>
                                    <w:szCs w:val="22"/>
                                  </w:rPr>
                                  <w:fldChar w:fldCharType="begin"/>
                                </w:r>
                                <w:r>
                                  <w:instrText>PAGE    \* MERGEFORMAT</w:instrText>
                                </w:r>
                                <w:r>
                                  <w:rPr>
                                    <w:sz w:val="22"/>
                                    <w:szCs w:val="22"/>
                                  </w:rPr>
                                  <w:fldChar w:fldCharType="separate"/>
                                </w:r>
                                <w:r w:rsidR="0038043D" w:rsidRPr="0038043D">
                                  <w:rPr>
                                    <w:rStyle w:val="Nmerodepgina"/>
                                    <w:b/>
                                    <w:bCs/>
                                    <w:noProof/>
                                    <w:color w:val="7F5F00" w:themeColor="accent4" w:themeShade="7F"/>
                                    <w:sz w:val="16"/>
                                    <w:szCs w:val="16"/>
                                    <w:lang w:val="es-ES"/>
                                  </w:rPr>
                                  <w:t>112</w:t>
                                </w:r>
                                <w:r>
                                  <w:rPr>
                                    <w:rStyle w:val="Nmerodepgina"/>
                                    <w:b/>
                                    <w:bCs/>
                                    <w:color w:val="7F5F00" w:themeColor="accent4" w:themeShade="7F"/>
                                    <w:sz w:val="16"/>
                                    <w:szCs w:val="16"/>
                                  </w:rPr>
                                  <w:fldChar w:fldCharType="end"/>
                                </w:r>
                              </w:p>
                            </w:txbxContent>
                          </wps:txbx>
                          <wps:bodyPr rot="0" vert="horz" wrap="square" lIns="0" tIns="0" rIns="0" bIns="0" anchor="ctr" anchorCtr="0" upright="1">
                            <a:noAutofit/>
                          </wps:bodyPr>
                        </wps:wsp>
                        <wpg:grpSp>
                          <wpg:cNvPr id="8" name="Group 72"/>
                          <wpg:cNvGrpSpPr>
                            <a:grpSpLocks/>
                          </wpg:cNvGrpSpPr>
                          <wpg:grpSpPr bwMode="auto">
                            <a:xfrm>
                              <a:off x="886" y="3255"/>
                              <a:ext cx="374" cy="374"/>
                              <a:chOff x="1453" y="14832"/>
                              <a:chExt cx="374" cy="374"/>
                            </a:xfrm>
                          </wpg:grpSpPr>
                          <wps:wsp>
                            <wps:cNvPr id="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EE4FBB" id="Grupo 6" o:spid="_x0000_s1026" style="position:absolute;margin-left:0;margin-top:0;width:38.45pt;height:18.7pt;z-index:251672576;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" filled="f" stroked="f">
                    <v:textbox inset="0,0,0,0">
                      <w:txbxContent>
                        <w:p w14:paraId="30759D0A" w14:textId="412EABBA" w:rsidR="00DD2798" w:rsidRDefault="00DD2798">
                          <w:pPr>
                            <w:pStyle w:val="Encabezado"/>
                            <w:jc w:val="center"/>
                          </w:pPr>
                          <w:r>
                            <w:rPr>
                              <w:sz w:val="22"/>
                              <w:szCs w:val="22"/>
                            </w:rPr>
                            <w:fldChar w:fldCharType="begin"/>
                          </w:r>
                          <w:r>
                            <w:instrText>PAGE    \* MERGEFORMAT</w:instrText>
                          </w:r>
                          <w:r>
                            <w:rPr>
                              <w:sz w:val="22"/>
                              <w:szCs w:val="22"/>
                            </w:rPr>
                            <w:fldChar w:fldCharType="separate"/>
                          </w:r>
                          <w:r w:rsidR="0038043D" w:rsidRPr="0038043D">
                            <w:rPr>
                              <w:rStyle w:val="Nmerodepgina"/>
                              <w:b/>
                              <w:bCs/>
                              <w:noProof/>
                              <w:color w:val="7F5F00" w:themeColor="accent4" w:themeShade="7F"/>
                              <w:sz w:val="16"/>
                              <w:szCs w:val="16"/>
                              <w:lang w:val="es-ES"/>
                            </w:rPr>
                            <w:t>112</w:t>
                          </w:r>
                          <w:r>
                            <w:rPr>
                              <w:rStyle w:val="Nmerodepgina"/>
                              <w:b/>
                              <w:bCs/>
                              <w:color w:val="7F5F00" w:themeColor="accent4" w:themeShade="7F"/>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" fillcolor="#84a2c6" stroked="f"/>
                  </v:group>
                  <w10:wrap anchorx="margin" anchory="page"/>
                </v:group>
              </w:pict>
            </mc:Fallback>
          </mc:AlternateContent>
        </w:r>
      </w:p>
    </w:sdtContent>
  </w:sdt>
  <w:p w14:paraId="7870EC74" w14:textId="77777777" w:rsidR="00DA7103" w:rsidRPr="00DA7103" w:rsidRDefault="00DA7103">
    <w:pPr>
      <w:pBdr>
        <w:top w:val="nil"/>
        <w:left w:val="nil"/>
        <w:bottom w:val="nil"/>
        <w:right w:val="nil"/>
        <w:between w:val="nil"/>
      </w:pBdr>
      <w:tabs>
        <w:tab w:val="center" w:pos="4419"/>
        <w:tab w:val="right" w:pos="8838"/>
      </w:tabs>
      <w:rPr>
        <w:b/>
        <w:bCs/>
        <w:sz w:val="18"/>
        <w:szCs w:val="18"/>
      </w:rPr>
    </w:pPr>
    <w:bookmarkStart w:id="5" w:name="_heading=h.1yeixes9sty0" w:colFirst="0" w:colLast="0"/>
    <w:bookmarkEnd w:id="5"/>
  </w:p>
  <w:p w14:paraId="7BA31B8E" w14:textId="77777777" w:rsidR="00DA7103" w:rsidRPr="00DA7103" w:rsidRDefault="00DA7103">
    <w:pPr>
      <w:pBdr>
        <w:top w:val="nil"/>
        <w:left w:val="nil"/>
        <w:bottom w:val="nil"/>
        <w:right w:val="nil"/>
        <w:between w:val="nil"/>
      </w:pBdr>
      <w:tabs>
        <w:tab w:val="center" w:pos="4419"/>
        <w:tab w:val="right" w:pos="8838"/>
      </w:tabs>
      <w:rPr>
        <w:b/>
        <w:bCs/>
        <w:sz w:val="18"/>
        <w:szCs w:val="18"/>
      </w:rPr>
    </w:pPr>
  </w:p>
  <w:p w14:paraId="30927045" w14:textId="77777777" w:rsidR="00DA7103" w:rsidRPr="00DA7103" w:rsidRDefault="00DA7103">
    <w:pPr>
      <w:pBdr>
        <w:top w:val="nil"/>
        <w:left w:val="nil"/>
        <w:bottom w:val="nil"/>
        <w:right w:val="nil"/>
        <w:between w:val="nil"/>
      </w:pBdr>
      <w:tabs>
        <w:tab w:val="center" w:pos="4419"/>
        <w:tab w:val="right" w:pos="8838"/>
      </w:tabs>
      <w:rPr>
        <w:b/>
        <w:bCs/>
        <w:sz w:val="18"/>
        <w:szCs w:val="18"/>
      </w:rPr>
    </w:pPr>
  </w:p>
  <w:p w14:paraId="337A150D" w14:textId="77777777" w:rsidR="00DA7103" w:rsidRPr="00DA7103" w:rsidRDefault="00DA7103">
    <w:pPr>
      <w:pBdr>
        <w:top w:val="nil"/>
        <w:left w:val="nil"/>
        <w:bottom w:val="nil"/>
        <w:right w:val="nil"/>
        <w:between w:val="nil"/>
      </w:pBdr>
      <w:tabs>
        <w:tab w:val="center" w:pos="4419"/>
        <w:tab w:val="right" w:pos="8838"/>
      </w:tabs>
      <w:rPr>
        <w:b/>
        <w:bCs/>
        <w:sz w:val="18"/>
        <w:szCs w:val="18"/>
      </w:rPr>
    </w:pPr>
  </w:p>
  <w:p w14:paraId="54C4F16C" w14:textId="77777777" w:rsidR="00DA7103" w:rsidRPr="00DA7103" w:rsidRDefault="00DA7103">
    <w:pPr>
      <w:pBdr>
        <w:top w:val="nil"/>
        <w:left w:val="nil"/>
        <w:bottom w:val="nil"/>
        <w:right w:val="nil"/>
        <w:between w:val="nil"/>
      </w:pBdr>
      <w:tabs>
        <w:tab w:val="center" w:pos="4419"/>
        <w:tab w:val="right" w:pos="8838"/>
      </w:tabs>
      <w:rPr>
        <w:rFonts w:ascii="Arial" w:hAnsi="Arial" w:cs="Arial"/>
        <w:b/>
        <w:bCs/>
        <w:sz w:val="18"/>
        <w:szCs w:val="18"/>
      </w:rPr>
    </w:pPr>
  </w:p>
  <w:p w14:paraId="0DB1759E" w14:textId="27088743" w:rsidR="00073187" w:rsidRPr="00DA7103" w:rsidRDefault="00C743AB">
    <w:pPr>
      <w:pBdr>
        <w:top w:val="nil"/>
        <w:left w:val="nil"/>
        <w:bottom w:val="nil"/>
        <w:right w:val="nil"/>
        <w:between w:val="nil"/>
      </w:pBdr>
      <w:tabs>
        <w:tab w:val="center" w:pos="4419"/>
        <w:tab w:val="right" w:pos="8838"/>
      </w:tabs>
      <w:rPr>
        <w:rFonts w:ascii="Arial" w:hAnsi="Arial" w:cs="Arial"/>
        <w:b/>
        <w:bCs/>
        <w:sz w:val="18"/>
        <w:szCs w:val="18"/>
      </w:rPr>
    </w:pPr>
    <w:r>
      <w:rPr>
        <w:noProof/>
        <w:lang w:val="es-ES" w:eastAsia="es-ES"/>
      </w:rPr>
      <mc:AlternateContent>
        <mc:Choice Requires="wps">
          <w:drawing>
            <wp:anchor distT="0" distB="0" distL="114300" distR="114300" simplePos="0" relativeHeight="251681792" behindDoc="0" locked="0" layoutInCell="1" allowOverlap="1" wp14:anchorId="1FE27F4A" wp14:editId="0A0A85F9">
              <wp:simplePos x="0" y="0"/>
              <wp:positionH relativeFrom="margin">
                <wp:align>left</wp:align>
              </wp:positionH>
              <wp:positionV relativeFrom="paragraph">
                <wp:posOffset>199390</wp:posOffset>
              </wp:positionV>
              <wp:extent cx="5760000" cy="0"/>
              <wp:effectExtent l="0" t="0" r="31750" b="19050"/>
              <wp:wrapNone/>
              <wp:docPr id="19" name="Conector recto 19"/>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F678E30" id="Conector recto 19" o:spid="_x0000_s1026" style="position:absolute;z-index:25168179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15.7pt" to="453.5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" strokecolor="black [3040]">
              <w10:wrap anchorx="margin"/>
            </v:line>
          </w:pict>
        </mc:Fallback>
      </mc:AlternateContent>
    </w:r>
    <w:r w:rsidRPr="00C743AB">
      <w:rPr>
        <w:rFonts w:ascii="Arial" w:hAnsi="Arial" w:cs="Arial"/>
        <w:b/>
        <w:bCs/>
        <w:sz w:val="18"/>
        <w:szCs w:val="18"/>
      </w:rPr>
      <w:t>Percepciones, gestión e impacto longitudinal de la Nueva Escuela Mexicana en educación primaria</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color w:val="000000"/>
        <w:sz w:val="18"/>
        <w:szCs w:val="18"/>
      </w:rPr>
      <w:id w:val="1741985460"/>
      <w:docPartObj>
        <w:docPartGallery w:val="Page Numbers (Margins)"/>
        <w:docPartUnique/>
      </w:docPartObj>
    </w:sdtPr>
    <w:sdtEndPr/>
    <w:sdtContent>
      <w:p w14:paraId="6DED8DF0" w14:textId="26F22E65" w:rsidR="00073187" w:rsidRDefault="00DD2798">
        <w:pPr>
          <w:pBdr>
            <w:top w:val="nil"/>
            <w:left w:val="nil"/>
            <w:bottom w:val="nil"/>
            <w:right w:val="nil"/>
            <w:between w:val="nil"/>
          </w:pBdr>
          <w:tabs>
            <w:tab w:val="center" w:pos="4419"/>
            <w:tab w:val="right" w:pos="8838"/>
          </w:tabs>
          <w:rPr>
            <w:b/>
            <w:bCs/>
            <w:color w:val="000000"/>
            <w:sz w:val="18"/>
            <w:szCs w:val="18"/>
          </w:rPr>
        </w:pPr>
        <w:r w:rsidRPr="00DD2798">
          <w:rPr>
            <w:b/>
            <w:bCs/>
            <w:noProof/>
            <w:color w:val="000000"/>
            <w:sz w:val="18"/>
            <w:szCs w:val="18"/>
            <w:lang w:val="es-ES" w:eastAsia="es-ES"/>
          </w:rPr>
          <mc:AlternateContent>
            <mc:Choice Requires="wpg">
              <w:drawing>
                <wp:anchor distT="0" distB="0" distL="114300" distR="114300" simplePos="0" relativeHeight="251674624" behindDoc="0" locked="0" layoutInCell="0" allowOverlap="1" wp14:anchorId="1C2E5886" wp14:editId="514EDD24">
                  <wp:simplePos x="0" y="0"/>
                  <wp:positionH relativeFrom="rightMargin">
                    <wp:align>center</wp:align>
                  </wp:positionH>
                  <mc:AlternateContent>
                    <mc:Choice Requires="wp14">
                      <wp:positionV relativeFrom="page">
                        <wp14:pctPosVOffset>20000</wp14:pctPosVOffset>
                      </wp:positionV>
                    </mc:Choice>
                    <mc:Fallback>
                      <wp:positionV relativeFrom="page">
                        <wp:posOffset>2138680</wp:posOffset>
                      </wp:positionV>
                    </mc:Fallback>
                  </mc:AlternateContent>
                  <wp:extent cx="488315" cy="237490"/>
                  <wp:effectExtent l="0" t="9525" r="0" b="10160"/>
                  <wp:wrapNone/>
                  <wp:docPr id="11"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12"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6C866" w14:textId="4801FBFB" w:rsidR="00DD2798" w:rsidRDefault="00DD2798">
                                <w:pPr>
                                  <w:pStyle w:val="Encabezado"/>
                                  <w:jc w:val="center"/>
                                </w:pPr>
                                <w:r>
                                  <w:rPr>
                                    <w:sz w:val="22"/>
                                    <w:szCs w:val="22"/>
                                  </w:rPr>
                                  <w:fldChar w:fldCharType="begin"/>
                                </w:r>
                                <w:r>
                                  <w:instrText>PAGE    \* MERGEFORMAT</w:instrText>
                                </w:r>
                                <w:r>
                                  <w:rPr>
                                    <w:sz w:val="22"/>
                                    <w:szCs w:val="22"/>
                                  </w:rPr>
                                  <w:fldChar w:fldCharType="separate"/>
                                </w:r>
                                <w:r w:rsidR="0038043D" w:rsidRPr="0038043D">
                                  <w:rPr>
                                    <w:rStyle w:val="Nmerodepgina"/>
                                    <w:b/>
                                    <w:bCs/>
                                    <w:noProof/>
                                    <w:color w:val="7F5F00" w:themeColor="accent4" w:themeShade="7F"/>
                                    <w:sz w:val="16"/>
                                    <w:szCs w:val="16"/>
                                    <w:lang w:val="es-ES"/>
                                  </w:rPr>
                                  <w:t>111</w:t>
                                </w:r>
                                <w:r>
                                  <w:rPr>
                                    <w:rStyle w:val="Nmerodepgina"/>
                                    <w:b/>
                                    <w:bCs/>
                                    <w:color w:val="7F5F00" w:themeColor="accent4" w:themeShade="7F"/>
                                    <w:sz w:val="16"/>
                                    <w:szCs w:val="16"/>
                                  </w:rPr>
                                  <w:fldChar w:fldCharType="end"/>
                                </w:r>
                              </w:p>
                            </w:txbxContent>
                          </wps:txbx>
                          <wps:bodyPr rot="0" vert="horz" wrap="square" lIns="0" tIns="0" rIns="0" bIns="0" anchor="ctr" anchorCtr="0" upright="1">
                            <a:noAutofit/>
                          </wps:bodyPr>
                        </wps:wsp>
                        <wpg:grpSp>
                          <wpg:cNvPr id="13" name="Group 72"/>
                          <wpg:cNvGrpSpPr>
                            <a:grpSpLocks/>
                          </wpg:cNvGrpSpPr>
                          <wpg:grpSpPr bwMode="auto">
                            <a:xfrm>
                              <a:off x="886" y="3255"/>
                              <a:ext cx="374" cy="374"/>
                              <a:chOff x="1453" y="14832"/>
                              <a:chExt cx="374" cy="374"/>
                            </a:xfrm>
                          </wpg:grpSpPr>
                          <wps:wsp>
                            <wps:cNvPr id="1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C2E5886" id="Grupo 11" o:spid="_x0000_s1031" style="position:absolute;margin-left:0;margin-top:0;width:38.45pt;height:18.7pt;z-index:251674624;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" o:allowincell="f">
                  <v:shapetype id="_x0000_t202" coordsize="21600,21600" o:spt="202" path="m,l,21600r21600,l21600,xe">
                    <v:stroke joinstyle="miter"/>
                    <v:path gradientshapeok="t" o:connecttype="rect"/>
                  </v:shapetype>
                  <v:shape id="Text Box 71" o:spid="_x0000_s1032"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" filled="f" stroked="f">
                    <v:textbox inset="0,0,0,0">
                      <w:txbxContent>
                        <w:p w14:paraId="3906C866" w14:textId="4801FBFB" w:rsidR="00DD2798" w:rsidRDefault="00DD2798">
                          <w:pPr>
                            <w:pStyle w:val="Encabezado"/>
                            <w:jc w:val="center"/>
                          </w:pPr>
                          <w:r>
                            <w:rPr>
                              <w:sz w:val="22"/>
                              <w:szCs w:val="22"/>
                            </w:rPr>
                            <w:fldChar w:fldCharType="begin"/>
                          </w:r>
                          <w:r>
                            <w:instrText>PAGE    \* MERGEFORMAT</w:instrText>
                          </w:r>
                          <w:r>
                            <w:rPr>
                              <w:sz w:val="22"/>
                              <w:szCs w:val="22"/>
                            </w:rPr>
                            <w:fldChar w:fldCharType="separate"/>
                          </w:r>
                          <w:r w:rsidR="0038043D" w:rsidRPr="0038043D">
                            <w:rPr>
                              <w:rStyle w:val="Nmerodepgina"/>
                              <w:b/>
                              <w:bCs/>
                              <w:noProof/>
                              <w:color w:val="7F5F00" w:themeColor="accent4" w:themeShade="7F"/>
                              <w:sz w:val="16"/>
                              <w:szCs w:val="16"/>
                              <w:lang w:val="es-ES"/>
                            </w:rPr>
                            <w:t>111</w:t>
                          </w:r>
                          <w:r>
                            <w:rPr>
                              <w:rStyle w:val="Nmerodepgina"/>
                              <w:b/>
                              <w:bCs/>
                              <w:color w:val="7F5F00" w:themeColor="accent4" w:themeShade="7F"/>
                              <w:sz w:val="16"/>
                              <w:szCs w:val="16"/>
                            </w:rPr>
                            <w:fldChar w:fldCharType="end"/>
                          </w:r>
                        </w:p>
                      </w:txbxContent>
                    </v:textbox>
                  </v:shape>
                  <v:group id="Group 72" o:spid="_x0000_s1033"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oval id="Oval 73" o:spid="_x0000_s1034"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" filled="f" strokecolor="#84a2c6" strokeweight=".5pt"/>
                    <v:oval id="Oval 74" o:spid="_x0000_s1035"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" fillcolor="#84a2c6" stroked="f"/>
                  </v:group>
                  <w10:wrap anchorx="margin" anchory="page"/>
                </v:group>
              </w:pict>
            </mc:Fallback>
          </mc:AlternateContent>
        </w:r>
      </w:p>
    </w:sdtContent>
  </w:sdt>
  <w:p w14:paraId="6F287341" w14:textId="77777777" w:rsidR="00DA7103" w:rsidRDefault="00DA7103">
    <w:pPr>
      <w:pBdr>
        <w:top w:val="nil"/>
        <w:left w:val="nil"/>
        <w:bottom w:val="nil"/>
        <w:right w:val="nil"/>
        <w:between w:val="nil"/>
      </w:pBdr>
      <w:tabs>
        <w:tab w:val="center" w:pos="4419"/>
        <w:tab w:val="right" w:pos="8838"/>
      </w:tabs>
      <w:rPr>
        <w:rFonts w:ascii="Arial" w:hAnsi="Arial" w:cs="Arial"/>
        <w:b/>
        <w:bCs/>
        <w:color w:val="000000"/>
        <w:sz w:val="18"/>
        <w:szCs w:val="18"/>
      </w:rPr>
    </w:pPr>
  </w:p>
  <w:p w14:paraId="3FBC3EFD" w14:textId="77777777" w:rsidR="00DA7103" w:rsidRDefault="00DA7103">
    <w:pPr>
      <w:pBdr>
        <w:top w:val="nil"/>
        <w:left w:val="nil"/>
        <w:bottom w:val="nil"/>
        <w:right w:val="nil"/>
        <w:between w:val="nil"/>
      </w:pBdr>
      <w:tabs>
        <w:tab w:val="center" w:pos="4419"/>
        <w:tab w:val="right" w:pos="8838"/>
      </w:tabs>
      <w:rPr>
        <w:rFonts w:ascii="Arial" w:hAnsi="Arial" w:cs="Arial"/>
        <w:b/>
        <w:bCs/>
        <w:color w:val="000000"/>
        <w:sz w:val="18"/>
        <w:szCs w:val="18"/>
      </w:rPr>
    </w:pPr>
  </w:p>
  <w:p w14:paraId="4B2227CD" w14:textId="77777777" w:rsidR="00DA7103" w:rsidRDefault="00DA7103">
    <w:pPr>
      <w:pBdr>
        <w:top w:val="nil"/>
        <w:left w:val="nil"/>
        <w:bottom w:val="nil"/>
        <w:right w:val="nil"/>
        <w:between w:val="nil"/>
      </w:pBdr>
      <w:tabs>
        <w:tab w:val="center" w:pos="4419"/>
        <w:tab w:val="right" w:pos="8838"/>
      </w:tabs>
      <w:rPr>
        <w:rFonts w:ascii="Arial" w:hAnsi="Arial" w:cs="Arial"/>
        <w:b/>
        <w:bCs/>
        <w:color w:val="000000"/>
        <w:sz w:val="18"/>
        <w:szCs w:val="18"/>
      </w:rPr>
    </w:pPr>
  </w:p>
  <w:p w14:paraId="41BE1A82" w14:textId="77777777" w:rsidR="00DA7103" w:rsidRDefault="00DA7103">
    <w:pPr>
      <w:pBdr>
        <w:top w:val="nil"/>
        <w:left w:val="nil"/>
        <w:bottom w:val="nil"/>
        <w:right w:val="nil"/>
        <w:between w:val="nil"/>
      </w:pBdr>
      <w:tabs>
        <w:tab w:val="center" w:pos="4419"/>
        <w:tab w:val="right" w:pos="8838"/>
      </w:tabs>
      <w:rPr>
        <w:rFonts w:ascii="Arial" w:hAnsi="Arial" w:cs="Arial"/>
        <w:b/>
        <w:bCs/>
        <w:color w:val="000000"/>
        <w:sz w:val="18"/>
        <w:szCs w:val="18"/>
      </w:rPr>
    </w:pPr>
  </w:p>
  <w:p w14:paraId="1E373BFE" w14:textId="68AD06F6" w:rsidR="00DA7103" w:rsidRDefault="00DA7103">
    <w:pPr>
      <w:pBdr>
        <w:top w:val="nil"/>
        <w:left w:val="nil"/>
        <w:bottom w:val="nil"/>
        <w:right w:val="nil"/>
        <w:between w:val="nil"/>
      </w:pBdr>
      <w:tabs>
        <w:tab w:val="center" w:pos="4419"/>
        <w:tab w:val="right" w:pos="8838"/>
      </w:tabs>
      <w:rPr>
        <w:rFonts w:ascii="Arial" w:hAnsi="Arial" w:cs="Arial"/>
        <w:b/>
        <w:bCs/>
        <w:color w:val="000000"/>
        <w:sz w:val="18"/>
        <w:szCs w:val="18"/>
      </w:rPr>
    </w:pPr>
  </w:p>
  <w:p w14:paraId="23E18170" w14:textId="1389ACA4" w:rsidR="00073187" w:rsidRPr="00D41429" w:rsidRDefault="00C743AB">
    <w:pPr>
      <w:pBdr>
        <w:top w:val="nil"/>
        <w:left w:val="nil"/>
        <w:bottom w:val="nil"/>
        <w:right w:val="nil"/>
        <w:between w:val="nil"/>
      </w:pBdr>
      <w:tabs>
        <w:tab w:val="center" w:pos="4419"/>
        <w:tab w:val="right" w:pos="8838"/>
      </w:tabs>
      <w:rPr>
        <w:rFonts w:ascii="Arial" w:hAnsi="Arial" w:cs="Arial"/>
      </w:rPr>
    </w:pPr>
    <w:r>
      <w:rPr>
        <w:noProof/>
        <w:lang w:val="es-ES" w:eastAsia="es-ES"/>
      </w:rPr>
      <mc:AlternateContent>
        <mc:Choice Requires="wps">
          <w:drawing>
            <wp:anchor distT="0" distB="0" distL="114300" distR="114300" simplePos="0" relativeHeight="251677696" behindDoc="0" locked="0" layoutInCell="1" allowOverlap="1" wp14:anchorId="5F995C1A" wp14:editId="1216E616">
              <wp:simplePos x="0" y="0"/>
              <wp:positionH relativeFrom="margin">
                <wp:posOffset>-13335</wp:posOffset>
              </wp:positionH>
              <wp:positionV relativeFrom="paragraph">
                <wp:posOffset>302260</wp:posOffset>
              </wp:positionV>
              <wp:extent cx="5760000" cy="0"/>
              <wp:effectExtent l="0" t="0" r="31750" b="19050"/>
              <wp:wrapNone/>
              <wp:docPr id="17" name="Conector recto 17"/>
              <wp:cNvGraphicFramePr/>
              <a:graphic xmlns:a="http://schemas.openxmlformats.org/drawingml/2006/main">
                <a:graphicData uri="http://schemas.microsoft.com/office/word/2010/wordprocessingShape">
                  <wps:wsp>
                    <wps:cNvCnPr/>
                    <wps:spPr>
                      <a:xfrm>
                        <a:off x="0" y="0"/>
                        <a:ext cx="57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6CD1323" id="Conector recto 17" o:spid="_x0000_s1026" style="position:absolute;z-index:251677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05pt,23.8pt" to="452.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" strokecolor="black [3040]">
              <w10:wrap anchorx="margin"/>
            </v:line>
          </w:pict>
        </mc:Fallback>
      </mc:AlternateContent>
    </w:r>
    <w:r w:rsidR="00DA7103" w:rsidRPr="00D41429">
      <w:rPr>
        <w:rFonts w:ascii="Arial" w:hAnsi="Arial" w:cs="Arial"/>
        <w:b/>
        <w:bCs/>
        <w:color w:val="000000"/>
        <w:sz w:val="18"/>
        <w:szCs w:val="18"/>
      </w:rPr>
      <w:t>A</w:t>
    </w:r>
    <w:r w:rsidR="006A6E56" w:rsidRPr="00D41429">
      <w:rPr>
        <w:rFonts w:ascii="Arial" w:hAnsi="Arial" w:cs="Arial"/>
        <w:b/>
        <w:bCs/>
        <w:color w:val="000000"/>
        <w:sz w:val="18"/>
        <w:szCs w:val="18"/>
      </w:rPr>
      <w:t>uto</w:t>
    </w:r>
    <w:r w:rsidR="000D1FD0">
      <w:rPr>
        <w:rFonts w:ascii="Arial" w:hAnsi="Arial" w:cs="Arial"/>
        <w:b/>
        <w:bCs/>
        <w:color w:val="000000"/>
        <w:sz w:val="18"/>
        <w:szCs w:val="18"/>
      </w:rPr>
      <w:t xml:space="preserve"> Ana Lilia Mora Rangel</w:t>
    </w:r>
    <w:r w:rsidR="00D41429" w:rsidRPr="00D41429">
      <w:rPr>
        <w:rFonts w:ascii="Arial" w:hAnsi="Arial" w:cs="Arial"/>
        <w:b/>
        <w:bCs/>
        <w:color w:val="000000"/>
        <w:sz w:val="18"/>
        <w:szCs w:val="18"/>
      </w:rPr>
      <w:t>; Andrea Angelica Navarro Villicaña ; Roberto José Muñoz Mújica ; Alma Delia Navarrete Leal</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7D072" w14:textId="1D23C0F4" w:rsidR="00DA7103" w:rsidRDefault="00911333" w:rsidP="00DA7103">
    <w:pPr>
      <w:ind w:right="232"/>
      <w:jc w:val="right"/>
      <w:textDirection w:val="btLr"/>
      <w:rPr>
        <w:rFonts w:ascii="Arial" w:eastAsia="Arial" w:hAnsi="Arial" w:cs="Arial"/>
        <w:b/>
        <w:color w:val="595959"/>
        <w:sz w:val="18"/>
      </w:rPr>
    </w:pPr>
    <w:sdt>
      <w:sdtPr>
        <w:rPr>
          <w:rFonts w:ascii="Arial" w:eastAsia="Arial" w:hAnsi="Arial" w:cs="Arial"/>
          <w:b/>
          <w:color w:val="595959"/>
          <w:sz w:val="18"/>
        </w:rPr>
        <w:id w:val="846366838"/>
        <w:docPartObj>
          <w:docPartGallery w:val="Page Numbers (Margins)"/>
          <w:docPartUnique/>
        </w:docPartObj>
      </w:sdtPr>
      <w:sdtEndPr/>
      <w:sdtContent>
        <w:r w:rsidR="005F1191" w:rsidRPr="005F1191">
          <w:rPr>
            <w:rFonts w:ascii="Arial" w:eastAsia="Arial" w:hAnsi="Arial" w:cs="Arial"/>
            <w:b/>
            <w:noProof/>
            <w:color w:val="595959"/>
            <w:sz w:val="18"/>
            <w:lang w:val="es-ES" w:eastAsia="es-ES"/>
          </w:rPr>
          <mc:AlternateContent>
            <mc:Choice Requires="wpg">
              <w:drawing>
                <wp:anchor distT="0" distB="0" distL="114300" distR="114300" simplePos="0" relativeHeight="251670528" behindDoc="0" locked="0" layoutInCell="0" allowOverlap="1" wp14:anchorId="73D550BA" wp14:editId="1A8C75FB">
                  <wp:simplePos x="0" y="0"/>
                  <wp:positionH relativeFrom="rightMargin">
                    <wp:align>center</wp:align>
                  </wp:positionH>
                  <mc:AlternateContent>
                    <mc:Choice Requires="wp14">
                      <wp:positionV relativeFrom="page">
                        <wp14:pctPosVOffset>20000</wp14:pctPosVOffset>
                      </wp:positionV>
                    </mc:Choice>
                    <mc:Fallback>
                      <wp:positionV relativeFrom="page">
                        <wp:posOffset>2138680</wp:posOffset>
                      </wp:positionV>
                    </mc:Fallback>
                  </mc:AlternateContent>
                  <wp:extent cx="488315" cy="237490"/>
                  <wp:effectExtent l="0" t="9525" r="0" b="1016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2"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6E07C" w14:textId="75D57599" w:rsidR="005F1191" w:rsidRDefault="005F1191">
                                <w:pPr>
                                  <w:pStyle w:val="Encabezado"/>
                                  <w:jc w:val="center"/>
                                </w:pPr>
                                <w:r>
                                  <w:rPr>
                                    <w:sz w:val="22"/>
                                    <w:szCs w:val="22"/>
                                  </w:rPr>
                                  <w:fldChar w:fldCharType="begin"/>
                                </w:r>
                                <w:r>
                                  <w:instrText>PAGE    \* MERGEFORMAT</w:instrText>
                                </w:r>
                                <w:r>
                                  <w:rPr>
                                    <w:sz w:val="22"/>
                                    <w:szCs w:val="22"/>
                                  </w:rPr>
                                  <w:fldChar w:fldCharType="separate"/>
                                </w:r>
                                <w:r w:rsidR="0038043D" w:rsidRPr="0038043D">
                                  <w:rPr>
                                    <w:rStyle w:val="Nmerodepgina"/>
                                    <w:b/>
                                    <w:bCs/>
                                    <w:noProof/>
                                    <w:color w:val="7F5F00" w:themeColor="accent4" w:themeShade="7F"/>
                                    <w:sz w:val="16"/>
                                    <w:szCs w:val="16"/>
                                    <w:lang w:val="es-ES"/>
                                  </w:rPr>
                                  <w:t>98</w:t>
                                </w:r>
                                <w:r>
                                  <w:rPr>
                                    <w:rStyle w:val="Nmerodepgina"/>
                                    <w:b/>
                                    <w:bCs/>
                                    <w:color w:val="7F5F00" w:themeColor="accent4" w:themeShade="7F"/>
                                    <w:sz w:val="16"/>
                                    <w:szCs w:val="16"/>
                                  </w:rPr>
                                  <w:fldChar w:fldCharType="end"/>
                                </w:r>
                              </w:p>
                            </w:txbxContent>
                          </wps:txbx>
                          <wps:bodyPr rot="0" vert="horz" wrap="square" lIns="0" tIns="0" rIns="0" bIns="0" anchor="ctr" anchorCtr="0" upright="1">
                            <a:noAutofit/>
                          </wps:bodyPr>
                        </wps:wsp>
                        <wpg:grpSp>
                          <wpg:cNvPr id="3" name="Group 72"/>
                          <wpg:cNvGrpSpPr>
                            <a:grpSpLocks/>
                          </wpg:cNvGrpSpPr>
                          <wpg:grpSpPr bwMode="auto">
                            <a:xfrm>
                              <a:off x="886" y="3255"/>
                              <a:ext cx="374" cy="374"/>
                              <a:chOff x="1453" y="14832"/>
                              <a:chExt cx="374" cy="374"/>
                            </a:xfrm>
                          </wpg:grpSpPr>
                          <wps:wsp>
                            <wps:cNvPr id="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3D550BA" id="Grupo 1" o:spid="_x0000_s1036" style="position:absolute;left:0;text-align:left;margin-left:0;margin-top:0;width:38.45pt;height:18.7pt;z-index:251670528;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" o:allowincell="f">
                  <v:shapetype id="_x0000_t202" coordsize="21600,21600" o:spt="202" path="m,l,21600r21600,l21600,xe">
                    <v:stroke joinstyle="miter"/>
                    <v:path gradientshapeok="t" o:connecttype="rect"/>
                  </v:shapetype>
                  <v:shape id="Text Box 71" o:spid="_x0000_s103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" filled="f" stroked="f">
                    <v:textbox inset="0,0,0,0">
                      <w:txbxContent>
                        <w:p w14:paraId="5986E07C" w14:textId="75D57599" w:rsidR="005F1191" w:rsidRDefault="005F1191">
                          <w:pPr>
                            <w:pStyle w:val="Encabezado"/>
                            <w:jc w:val="center"/>
                          </w:pPr>
                          <w:r>
                            <w:rPr>
                              <w:sz w:val="22"/>
                              <w:szCs w:val="22"/>
                            </w:rPr>
                            <w:fldChar w:fldCharType="begin"/>
                          </w:r>
                          <w:r>
                            <w:instrText>PAGE    \* MERGEFORMAT</w:instrText>
                          </w:r>
                          <w:r>
                            <w:rPr>
                              <w:sz w:val="22"/>
                              <w:szCs w:val="22"/>
                            </w:rPr>
                            <w:fldChar w:fldCharType="separate"/>
                          </w:r>
                          <w:r w:rsidR="0038043D" w:rsidRPr="0038043D">
                            <w:rPr>
                              <w:rStyle w:val="Nmerodepgina"/>
                              <w:b/>
                              <w:bCs/>
                              <w:noProof/>
                              <w:color w:val="7F5F00" w:themeColor="accent4" w:themeShade="7F"/>
                              <w:sz w:val="16"/>
                              <w:szCs w:val="16"/>
                              <w:lang w:val="es-ES"/>
                            </w:rPr>
                            <w:t>98</w:t>
                          </w:r>
                          <w:r>
                            <w:rPr>
                              <w:rStyle w:val="Nmerodepgina"/>
                              <w:b/>
                              <w:bCs/>
                              <w:color w:val="7F5F00" w:themeColor="accent4" w:themeShade="7F"/>
                              <w:sz w:val="16"/>
                              <w:szCs w:val="16"/>
                            </w:rPr>
                            <w:fldChar w:fldCharType="end"/>
                          </w:r>
                        </w:p>
                      </w:txbxContent>
                    </v:textbox>
                  </v:shape>
                  <v:group id="Group 72" o:spid="_x0000_s103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oval id="Oval 73" o:spid="_x0000_s103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" filled="f" strokecolor="#84a2c6" strokeweight=".5pt"/>
                    <v:oval id="Oval 74" o:spid="_x0000_s104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" fillcolor="#84a2c6" stroked="f"/>
                  </v:group>
                  <w10:wrap anchorx="margin" anchory="page"/>
                </v:group>
              </w:pict>
            </mc:Fallback>
          </mc:AlternateContent>
        </w:r>
      </w:sdtContent>
    </w:sdt>
    <w:r w:rsidR="00DA7103">
      <w:rPr>
        <w:noProof/>
        <w:lang w:val="es-ES" w:eastAsia="es-ES"/>
      </w:rPr>
      <w:drawing>
        <wp:anchor distT="0" distB="0" distL="114300" distR="114300" simplePos="0" relativeHeight="251668480" behindDoc="1" locked="0" layoutInCell="1" allowOverlap="1" wp14:anchorId="7F8CFCA4" wp14:editId="58DE5D40">
          <wp:simplePos x="0" y="0"/>
          <wp:positionH relativeFrom="column">
            <wp:posOffset>-942975</wp:posOffset>
          </wp:positionH>
          <wp:positionV relativeFrom="paragraph">
            <wp:posOffset>-463490</wp:posOffset>
          </wp:positionV>
          <wp:extent cx="7838059" cy="1856105"/>
          <wp:effectExtent l="0" t="0" r="0" b="0"/>
          <wp:wrapNone/>
          <wp:docPr id="653" name="Imagen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ncabezado plantilla RSEUS MAYOR.JPG"/>
                  <pic:cNvPicPr/>
                </pic:nvPicPr>
                <pic:blipFill>
                  <a:blip r:embed="rId1">
                    <a:extLst>
                      <a:ext uri="{28A0092B-C50C-407E-A947-70E740481C1C}">
                        <a14:useLocalDpi xmlns:a14="http://schemas.microsoft.com/office/drawing/2010/main" val="0"/>
                      </a:ext>
                    </a:extLst>
                  </a:blip>
                  <a:stretch>
                    <a:fillRect/>
                  </a:stretch>
                </pic:blipFill>
                <pic:spPr>
                  <a:xfrm>
                    <a:off x="0" y="0"/>
                    <a:ext cx="7838059" cy="1856105"/>
                  </a:xfrm>
                  <a:prstGeom prst="rect">
                    <a:avLst/>
                  </a:prstGeom>
                </pic:spPr>
              </pic:pic>
            </a:graphicData>
          </a:graphic>
          <wp14:sizeRelH relativeFrom="margin">
            <wp14:pctWidth>0</wp14:pctWidth>
          </wp14:sizeRelH>
          <wp14:sizeRelV relativeFrom="margin">
            <wp14:pctHeight>0</wp14:pctHeight>
          </wp14:sizeRelV>
        </wp:anchor>
      </w:drawing>
    </w:r>
  </w:p>
  <w:p w14:paraId="330107BE" w14:textId="77777777" w:rsidR="00DA7103" w:rsidRDefault="00DA7103" w:rsidP="005F1191">
    <w:pPr>
      <w:ind w:right="232"/>
      <w:jc w:val="center"/>
      <w:textDirection w:val="btLr"/>
      <w:rPr>
        <w:rFonts w:ascii="Arial" w:eastAsia="Arial" w:hAnsi="Arial" w:cs="Arial"/>
        <w:b/>
        <w:color w:val="595959"/>
        <w:sz w:val="18"/>
      </w:rPr>
    </w:pPr>
  </w:p>
  <w:p w14:paraId="20620F76" w14:textId="77777777" w:rsidR="00DA7103" w:rsidRDefault="00DA7103" w:rsidP="00DA7103">
    <w:pPr>
      <w:ind w:right="232"/>
      <w:jc w:val="right"/>
      <w:textDirection w:val="btLr"/>
      <w:rPr>
        <w:rFonts w:ascii="Arial" w:eastAsia="Arial" w:hAnsi="Arial" w:cs="Arial"/>
        <w:b/>
        <w:color w:val="595959"/>
        <w:sz w:val="18"/>
      </w:rPr>
    </w:pPr>
  </w:p>
  <w:p w14:paraId="7EA8B5A2" w14:textId="77777777" w:rsidR="00DA7103" w:rsidRDefault="00DA7103" w:rsidP="00DA7103">
    <w:pPr>
      <w:ind w:right="232"/>
      <w:jc w:val="right"/>
      <w:textDirection w:val="btLr"/>
      <w:rPr>
        <w:rFonts w:ascii="Arial" w:eastAsia="Arial" w:hAnsi="Arial" w:cs="Arial"/>
        <w:b/>
        <w:color w:val="595959"/>
        <w:sz w:val="18"/>
      </w:rPr>
    </w:pPr>
  </w:p>
  <w:p w14:paraId="08FBECB4" w14:textId="77777777" w:rsidR="00DA7103" w:rsidRDefault="00DA7103" w:rsidP="00DA7103">
    <w:pPr>
      <w:ind w:right="232"/>
      <w:jc w:val="right"/>
      <w:textDirection w:val="btLr"/>
      <w:rPr>
        <w:rFonts w:ascii="Arial" w:eastAsia="Arial" w:hAnsi="Arial" w:cs="Arial"/>
        <w:b/>
        <w:color w:val="595959"/>
        <w:sz w:val="18"/>
      </w:rPr>
    </w:pPr>
  </w:p>
  <w:p w14:paraId="792B1535" w14:textId="77777777" w:rsidR="00DA7103" w:rsidRDefault="00DA7103" w:rsidP="00DA7103">
    <w:pPr>
      <w:ind w:right="232"/>
      <w:jc w:val="right"/>
      <w:textDirection w:val="btLr"/>
      <w:rPr>
        <w:rFonts w:ascii="Arial" w:eastAsia="Arial" w:hAnsi="Arial" w:cs="Arial"/>
        <w:b/>
        <w:color w:val="595959"/>
        <w:sz w:val="18"/>
      </w:rPr>
    </w:pPr>
  </w:p>
  <w:p w14:paraId="29D7440C" w14:textId="77777777" w:rsidR="00DA7103" w:rsidRDefault="00DA7103" w:rsidP="00DA7103">
    <w:pPr>
      <w:ind w:right="232"/>
      <w:jc w:val="right"/>
      <w:textDirection w:val="btLr"/>
      <w:rPr>
        <w:rFonts w:ascii="Arial" w:eastAsia="Arial" w:hAnsi="Arial" w:cs="Arial"/>
        <w:b/>
        <w:color w:val="595959"/>
        <w:sz w:val="18"/>
      </w:rPr>
    </w:pPr>
  </w:p>
  <w:p w14:paraId="494905F5" w14:textId="76B8F067" w:rsidR="00DA7103" w:rsidRDefault="00F504E2" w:rsidP="00DA7103">
    <w:pPr>
      <w:ind w:right="-1179"/>
      <w:jc w:val="right"/>
      <w:textDirection w:val="btLr"/>
    </w:pPr>
    <w:r>
      <w:rPr>
        <w:rFonts w:ascii="Arial" w:eastAsia="Arial" w:hAnsi="Arial" w:cs="Arial"/>
        <w:b/>
        <w:color w:val="595959"/>
        <w:sz w:val="18"/>
      </w:rPr>
      <w:t>VOLUMEN  14 NÚMERO 1</w:t>
    </w:r>
  </w:p>
  <w:p w14:paraId="11766EE2" w14:textId="5637421B" w:rsidR="00DA7103" w:rsidRDefault="00DA7103" w:rsidP="00DA7103">
    <w:pPr>
      <w:ind w:right="-1179"/>
      <w:jc w:val="right"/>
      <w:textDirection w:val="btLr"/>
    </w:pPr>
    <w:r>
      <w:rPr>
        <w:rFonts w:ascii="Arial" w:eastAsia="Arial" w:hAnsi="Arial" w:cs="Arial"/>
        <w:b/>
        <w:color w:val="595959"/>
        <w:sz w:val="18"/>
      </w:rPr>
      <w:t>http</w:t>
    </w:r>
    <w:r w:rsidR="00F504E2">
      <w:rPr>
        <w:rFonts w:ascii="Arial" w:eastAsia="Arial" w:hAnsi="Arial" w:cs="Arial"/>
        <w:b/>
        <w:color w:val="595959"/>
        <w:sz w:val="18"/>
      </w:rPr>
      <w:t>s</w:t>
    </w:r>
    <w:r w:rsidR="0031019E">
      <w:rPr>
        <w:rFonts w:ascii="Arial" w:eastAsia="Arial" w:hAnsi="Arial" w:cs="Arial"/>
        <w:b/>
        <w:color w:val="595959"/>
        <w:sz w:val="18"/>
      </w:rPr>
      <w:t>:</w:t>
    </w:r>
    <w:r w:rsidR="00F504E2">
      <w:rPr>
        <w:rFonts w:ascii="Arial" w:eastAsia="Arial" w:hAnsi="Arial" w:cs="Arial"/>
        <w:b/>
        <w:color w:val="595959"/>
        <w:sz w:val="18"/>
      </w:rPr>
      <w:t>//doi.org/10.48163/rseus.2026.14</w:t>
    </w:r>
    <w:r>
      <w:rPr>
        <w:rFonts w:ascii="Arial" w:eastAsia="Arial" w:hAnsi="Arial" w:cs="Arial"/>
        <w:b/>
        <w:color w:val="595959"/>
        <w:sz w:val="18"/>
      </w:rPr>
      <w:t>.</w:t>
    </w:r>
    <w:r w:rsidR="00F504E2">
      <w:rPr>
        <w:rFonts w:ascii="Arial" w:eastAsia="Arial" w:hAnsi="Arial" w:cs="Arial"/>
        <w:b/>
        <w:color w:val="595959"/>
        <w:sz w:val="18"/>
      </w:rPr>
      <w:t>198-115</w:t>
    </w:r>
  </w:p>
  <w:p w14:paraId="6C4CEBF8" w14:textId="260FD536" w:rsidR="00073187" w:rsidRDefault="00073187" w:rsidP="00DA7103">
    <w:pPr>
      <w:pBdr>
        <w:top w:val="nil"/>
        <w:left w:val="nil"/>
        <w:bottom w:val="nil"/>
        <w:right w:val="nil"/>
        <w:between w:val="nil"/>
      </w:pBdr>
      <w:tabs>
        <w:tab w:val="center" w:pos="4252"/>
        <w:tab w:val="right" w:pos="8504"/>
      </w:tabs>
      <w:ind w:left="-1418" w:right="-144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hyphenationZone w:val="425"/>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187"/>
    <w:rsid w:val="000066EF"/>
    <w:rsid w:val="00010433"/>
    <w:rsid w:val="0002291E"/>
    <w:rsid w:val="00073187"/>
    <w:rsid w:val="000B04ED"/>
    <w:rsid w:val="000B17AF"/>
    <w:rsid w:val="000D1FD0"/>
    <w:rsid w:val="00211AE6"/>
    <w:rsid w:val="00225C29"/>
    <w:rsid w:val="002266BA"/>
    <w:rsid w:val="002613AD"/>
    <w:rsid w:val="002C0009"/>
    <w:rsid w:val="0031019E"/>
    <w:rsid w:val="00360102"/>
    <w:rsid w:val="0036552D"/>
    <w:rsid w:val="0038043D"/>
    <w:rsid w:val="003D0299"/>
    <w:rsid w:val="004A3C4F"/>
    <w:rsid w:val="0059551B"/>
    <w:rsid w:val="005B6494"/>
    <w:rsid w:val="005F1191"/>
    <w:rsid w:val="00605CE7"/>
    <w:rsid w:val="00661542"/>
    <w:rsid w:val="00672333"/>
    <w:rsid w:val="0068046A"/>
    <w:rsid w:val="006A6E56"/>
    <w:rsid w:val="00700790"/>
    <w:rsid w:val="00800363"/>
    <w:rsid w:val="00885116"/>
    <w:rsid w:val="00911333"/>
    <w:rsid w:val="00916FA5"/>
    <w:rsid w:val="00953CC8"/>
    <w:rsid w:val="00992FF8"/>
    <w:rsid w:val="00A13E5B"/>
    <w:rsid w:val="00B27CDA"/>
    <w:rsid w:val="00B6428F"/>
    <w:rsid w:val="00BD7080"/>
    <w:rsid w:val="00C743AB"/>
    <w:rsid w:val="00D1338F"/>
    <w:rsid w:val="00D41429"/>
    <w:rsid w:val="00DA7103"/>
    <w:rsid w:val="00DA773E"/>
    <w:rsid w:val="00DC0934"/>
    <w:rsid w:val="00DC3C83"/>
    <w:rsid w:val="00DD2798"/>
    <w:rsid w:val="00E57877"/>
    <w:rsid w:val="00F40EAB"/>
    <w:rsid w:val="00F504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47FEBE"/>
  <w15:docId w15:val="{FDA8C39B-EA5D-724E-BDFD-4793E7967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s" w:eastAsia="es-MX" w:bidi="ar-SA"/>
      </w:rPr>
    </w:rPrDefault>
    <w:pPrDefault>
      <w:pPr>
        <w:spacing w:before="120" w:line="360"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299"/>
    <w:pPr>
      <w:spacing w:before="0" w:line="240" w:lineRule="auto"/>
      <w:ind w:firstLine="0"/>
    </w:pPr>
    <w:rPr>
      <w:rFonts w:ascii="Times New Roman" w:eastAsia="Times New Roman" w:hAnsi="Times New Roman" w:cs="Times New Roman"/>
      <w:lang w:val="es-MX"/>
    </w:rPr>
  </w:style>
  <w:style w:type="paragraph" w:styleId="Ttulo1">
    <w:name w:val="heading 1"/>
    <w:basedOn w:val="Normal"/>
    <w:next w:val="Normal"/>
    <w:uiPriority w:val="9"/>
    <w:qFormat/>
    <w:pPr>
      <w:keepNext/>
      <w:keepLines/>
      <w:spacing w:line="480" w:lineRule="auto"/>
      <w:jc w:val="center"/>
      <w:outlineLvl w:val="0"/>
    </w:pPr>
    <w:rPr>
      <w:b/>
      <w:bCs/>
    </w:rPr>
  </w:style>
  <w:style w:type="paragraph" w:styleId="Ttulo2">
    <w:name w:val="heading 2"/>
    <w:basedOn w:val="Normal"/>
    <w:next w:val="Normal"/>
    <w:uiPriority w:val="9"/>
    <w:semiHidden/>
    <w:unhideWhenUsed/>
    <w:qFormat/>
    <w:pPr>
      <w:outlineLvl w:val="1"/>
    </w:pPr>
    <w:rPr>
      <w:b/>
      <w:bCs/>
      <w:sz w:val="36"/>
      <w:szCs w:val="36"/>
    </w:rPr>
  </w:style>
  <w:style w:type="paragraph" w:styleId="Ttulo3">
    <w:name w:val="heading 3"/>
    <w:basedOn w:val="Normal"/>
    <w:next w:val="Normal"/>
    <w:uiPriority w:val="9"/>
    <w:semiHidden/>
    <w:unhideWhenUsed/>
    <w:qFormat/>
    <w:pPr>
      <w:outlineLvl w:val="2"/>
    </w:pPr>
    <w:rPr>
      <w:b/>
      <w:bCs/>
      <w:sz w:val="27"/>
      <w:szCs w:val="27"/>
    </w:rPr>
  </w:style>
  <w:style w:type="paragraph" w:styleId="Ttulo4">
    <w:name w:val="heading 4"/>
    <w:basedOn w:val="Normal"/>
    <w:next w:val="Normal"/>
    <w:uiPriority w:val="9"/>
    <w:semiHidden/>
    <w:unhideWhenUsed/>
    <w:qFormat/>
    <w:pPr>
      <w:keepNext/>
      <w:ind w:left="1584" w:hanging="864"/>
      <w:outlineLvl w:val="3"/>
    </w:pPr>
    <w:rPr>
      <w:b/>
      <w:bCs/>
      <w:i/>
      <w:iCs/>
      <w:sz w:val="18"/>
      <w:szCs w:val="18"/>
    </w:rPr>
  </w:style>
  <w:style w:type="paragraph" w:styleId="Ttulo5">
    <w:name w:val="heading 5"/>
    <w:basedOn w:val="Normal"/>
    <w:next w:val="Normal"/>
    <w:uiPriority w:val="9"/>
    <w:semiHidden/>
    <w:unhideWhenUsed/>
    <w:qFormat/>
    <w:pPr>
      <w:keepNext/>
      <w:keepLines/>
      <w:spacing w:before="200" w:line="276" w:lineRule="auto"/>
      <w:outlineLvl w:val="4"/>
    </w:pPr>
    <w:rPr>
      <w:rFonts w:ascii="Calibri" w:eastAsia="Calibri" w:hAnsi="Calibri" w:cs="Calibri"/>
      <w:color w:val="1E4D78"/>
    </w:rPr>
  </w:style>
  <w:style w:type="paragraph" w:styleId="Ttulo6">
    <w:name w:val="heading 6"/>
    <w:basedOn w:val="Normal"/>
    <w:next w:val="Normal"/>
    <w:uiPriority w:val="9"/>
    <w:semiHidden/>
    <w:unhideWhenUsed/>
    <w:qFormat/>
    <w:pPr>
      <w:keepNext/>
      <w:keepLines/>
      <w:spacing w:before="200" w:line="276" w:lineRule="auto"/>
      <w:outlineLvl w:val="5"/>
    </w:pPr>
    <w:rPr>
      <w:rFonts w:ascii="Calibri" w:eastAsia="Calibri" w:hAnsi="Calibri" w:cs="Calibri"/>
      <w:i/>
      <w:iCs/>
      <w:color w:val="1E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jc w:val="center"/>
    </w:pPr>
    <w:rPr>
      <w:b/>
      <w:bCs/>
      <w:smallCaps/>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pPr>
      <w:spacing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Encabezado">
    <w:name w:val="header"/>
    <w:basedOn w:val="Normal"/>
    <w:link w:val="EncabezadoCar"/>
    <w:uiPriority w:val="99"/>
    <w:unhideWhenUsed/>
    <w:rsid w:val="007D776B"/>
    <w:pPr>
      <w:tabs>
        <w:tab w:val="center" w:pos="4252"/>
        <w:tab w:val="right" w:pos="8504"/>
      </w:tabs>
    </w:pPr>
  </w:style>
  <w:style w:type="character" w:customStyle="1" w:styleId="EncabezadoCar">
    <w:name w:val="Encabezado Car"/>
    <w:basedOn w:val="Fuentedeprrafopredeter"/>
    <w:link w:val="Encabezado"/>
    <w:uiPriority w:val="99"/>
    <w:rsid w:val="007D776B"/>
  </w:style>
  <w:style w:type="paragraph" w:styleId="Piedepgina">
    <w:name w:val="footer"/>
    <w:basedOn w:val="Normal"/>
    <w:link w:val="PiedepginaCar"/>
    <w:uiPriority w:val="99"/>
    <w:unhideWhenUsed/>
    <w:rsid w:val="00BB420C"/>
    <w:pPr>
      <w:tabs>
        <w:tab w:val="center" w:pos="4252"/>
        <w:tab w:val="right" w:pos="8504"/>
      </w:tabs>
    </w:pPr>
  </w:style>
  <w:style w:type="character" w:customStyle="1" w:styleId="PiedepginaCar">
    <w:name w:val="Pie de página Car"/>
    <w:basedOn w:val="Fuentedeprrafopredeter"/>
    <w:link w:val="Piedepgina"/>
    <w:uiPriority w:val="99"/>
    <w:rsid w:val="00BB420C"/>
  </w:style>
  <w:style w:type="table" w:customStyle="1" w:styleId="a0">
    <w:basedOn w:val="TableNormal1"/>
    <w:pPr>
      <w:spacing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Subttulo">
    <w:name w:val="Subtitle"/>
    <w:basedOn w:val="Normal"/>
    <w:next w:val="Normal"/>
    <w:uiPriority w:val="11"/>
    <w:qFormat/>
    <w:pPr>
      <w:spacing w:after="60"/>
      <w:jc w:val="center"/>
    </w:pPr>
    <w:rPr>
      <w:rFonts w:ascii="Cambria" w:eastAsia="Cambria" w:hAnsi="Cambria" w:cs="Cambria"/>
    </w:rPr>
  </w:style>
  <w:style w:type="table" w:customStyle="1" w:styleId="a1">
    <w:basedOn w:val="TableNormal0"/>
    <w:pPr>
      <w:spacing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672333"/>
    <w:pPr>
      <w:spacing w:before="100" w:beforeAutospacing="1" w:after="100" w:afterAutospacing="1"/>
    </w:pPr>
  </w:style>
  <w:style w:type="character" w:styleId="Textodelmarcadordeposicin">
    <w:name w:val="Placeholder Text"/>
    <w:basedOn w:val="Fuentedeprrafopredeter"/>
    <w:uiPriority w:val="99"/>
    <w:semiHidden/>
    <w:rsid w:val="00225C29"/>
    <w:rPr>
      <w:color w:val="666666"/>
    </w:rPr>
  </w:style>
  <w:style w:type="character" w:styleId="Hipervnculo">
    <w:name w:val="Hyperlink"/>
    <w:basedOn w:val="Fuentedeprrafopredeter"/>
    <w:uiPriority w:val="99"/>
    <w:unhideWhenUsed/>
    <w:rsid w:val="003D0299"/>
    <w:rPr>
      <w:color w:val="0563C1" w:themeColor="hyperlink"/>
      <w:u w:val="single"/>
    </w:rPr>
  </w:style>
  <w:style w:type="character" w:customStyle="1" w:styleId="UnresolvedMention">
    <w:name w:val="Unresolved Mention"/>
    <w:basedOn w:val="Fuentedeprrafopredeter"/>
    <w:uiPriority w:val="99"/>
    <w:semiHidden/>
    <w:unhideWhenUsed/>
    <w:rsid w:val="003D0299"/>
    <w:rPr>
      <w:color w:val="605E5C"/>
      <w:shd w:val="clear" w:color="auto" w:fill="E1DFDD"/>
    </w:rPr>
  </w:style>
  <w:style w:type="character" w:styleId="Nmerodepgina">
    <w:name w:val="page number"/>
    <w:basedOn w:val="Fuentedeprrafopredeter"/>
    <w:uiPriority w:val="99"/>
    <w:unhideWhenUsed/>
    <w:rsid w:val="005F11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8299/ex92v043" TargetMode="External"/><Relationship Id="rId13" Type="http://schemas.openxmlformats.org/officeDocument/2006/relationships/hyperlink" Target="https://doi.org/10.1007/978-3-030-63885-6_58" TargetMode="External"/><Relationship Id="rId18" Type="http://schemas.openxmlformats.org/officeDocument/2006/relationships/hyperlink" Target="https://doi.org/10.70625/rlce/335"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cdnsnte1.snte.org.mx/wp-content/uploads/2024/02/21134621/Profundizando-en-el-conocimiento-de-la-NEM_21-02-2024-ok.pdf" TargetMode="External"/><Relationship Id="rId7" Type="http://schemas.openxmlformats.org/officeDocument/2006/relationships/hyperlink" Target="https://doi.org/10.2139/ssrn.3601316" TargetMode="External"/><Relationship Id="rId12" Type="http://schemas.openxmlformats.org/officeDocument/2006/relationships/hyperlink" Target="https://doi.org/10.26457/recein.2025.4428" TargetMode="External"/><Relationship Id="rId17" Type="http://schemas.openxmlformats.org/officeDocument/2006/relationships/hyperlink" Target="https://doi.org/10.32870/dse.v0i30.1574"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71068/vmwnye35" TargetMode="External"/><Relationship Id="rId20" Type="http://schemas.openxmlformats.org/officeDocument/2006/relationships/hyperlink" Target="https://www.gob.mx/cms/uploads/attachment/file/263956/Manual_Orientaciones_SisAT.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33010/recie.v9i0.2423" TargetMode="External"/><Relationship Id="rId24" Type="http://schemas.openxmlformats.org/officeDocument/2006/relationships/hyperlink" Target="https://doi.org/10.3389/feduc.2021.709560"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37811/cl_rcm.v9i6.21376" TargetMode="External"/><Relationship Id="rId23" Type="http://schemas.openxmlformats.org/officeDocument/2006/relationships/hyperlink" Target="https://doi.org/10.24844/REMED/0103.05" TargetMode="External"/><Relationship Id="rId28" Type="http://schemas.openxmlformats.org/officeDocument/2006/relationships/footer" Target="footer2.xml"/><Relationship Id="rId10" Type="http://schemas.openxmlformats.org/officeDocument/2006/relationships/hyperlink" Target="https://doi.org/10.35362/rie9816771" TargetMode="External"/><Relationship Id="rId19" Type="http://schemas.openxmlformats.org/officeDocument/2006/relationships/hyperlink" Target="https://doi.org/10.48082/espacios-a25v46n01p06"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33010/recie.v9i0.2407" TargetMode="External"/><Relationship Id="rId14" Type="http://schemas.openxmlformats.org/officeDocument/2006/relationships/hyperlink" Target="https://doi.org/10.3390/ijerph192416977" TargetMode="External"/><Relationship Id="rId22" Type="http://schemas.openxmlformats.org/officeDocument/2006/relationships/hyperlink" Target="https://doi.org/10.35429/ejc.2024.10.18.1.8" TargetMode="External"/><Relationship Id="rId27" Type="http://schemas.openxmlformats.org/officeDocument/2006/relationships/footer" Target="footer1.xml"/><Relationship Id="rId30"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rifedu.ude.edu.uy/index.php/RSEUS"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rifedu.ude.edu.uy/index.php/RSEUS"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rifedu.ude.edu.uy/index.php/RSEU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24220764@uca.edu.mx" TargetMode="External"/><Relationship Id="rId7" Type="http://schemas.openxmlformats.org/officeDocument/2006/relationships/hyperlink" Target="https://orcid.org/0000-0001-8507-3652" TargetMode="External"/><Relationship Id="rId2" Type="http://schemas.openxmlformats.org/officeDocument/2006/relationships/hyperlink" Target="https://orcid.org/0009-0009-6321-6929" TargetMode="External"/><Relationship Id="rId1" Type="http://schemas.openxmlformats.org/officeDocument/2006/relationships/hyperlink" Target="mailto:24220705@uca.edu.mx" TargetMode="External"/><Relationship Id="rId6" Type="http://schemas.openxmlformats.org/officeDocument/2006/relationships/hyperlink" Target="mailto:c.alma.navarrete@uca.edu.mx" TargetMode="External"/><Relationship Id="rId5" Type="http://schemas.openxmlformats.org/officeDocument/2006/relationships/hyperlink" Target="https://orcid.org/0000-0002-7326-634X" TargetMode="External"/><Relationship Id="rId4" Type="http://schemas.openxmlformats.org/officeDocument/2006/relationships/hyperlink" Target="https://orcid.org/0009-0001-0115-446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pQ/mqAsAUpft8yoRVdZzjEi9aw==">CgMxLjAyDmguZnVlcGRzdGduYXU1Mg5oLjhrano3eGxzMjB5aDIOaC5kd2dhYndrYjByMmoyDmgudWU1ZDUyeW85djVpMg5oLjF5ZWl4ZXM5c3R5MDgAciExVndJZ0VMTUFyWkIzSFNjTUlIalF5VlBCejBtc0JXZks=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7082</Words>
  <Characters>38951</Characters>
  <Application>Microsoft Office Word</Application>
  <DocSecurity>0</DocSecurity>
  <Lines>324</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Susana Pérez</dc:creator>
  <cp:lastModifiedBy>Maria Eugenia Maute</cp:lastModifiedBy>
  <cp:revision>2</cp:revision>
  <cp:lastPrinted>2026-10-23T15:43:00Z</cp:lastPrinted>
  <dcterms:created xsi:type="dcterms:W3CDTF">2026-10-27T15:34:00Z</dcterms:created>
  <dcterms:modified xsi:type="dcterms:W3CDTF">2026-10-27T15:34:00Z</dcterms:modified>
</cp:coreProperties>
</file>